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B9A3">
      <w:pPr>
        <w:keepNext w:val="0"/>
        <w:keepLines w:val="0"/>
        <w:pageBreakBefore w:val="0"/>
        <w:widowControl/>
        <w:kinsoku/>
        <w:wordWrap/>
        <w:topLinePunct w:val="0"/>
        <w:autoSpaceDE/>
        <w:autoSpaceDN/>
        <w:bidi w:val="0"/>
        <w:adjustRightInd/>
        <w:snapToGrid/>
        <w:spacing w:line="59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55CB4F42">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color w:val="auto"/>
          <w:sz w:val="32"/>
          <w:szCs w:val="32"/>
          <w:lang w:val="en-US" w:eastAsia="zh-CN"/>
        </w:rPr>
      </w:pPr>
    </w:p>
    <w:p w14:paraId="44D91A46">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color w:val="auto"/>
          <w:sz w:val="44"/>
          <w:szCs w:val="32"/>
        </w:rPr>
      </w:pPr>
      <w:r>
        <w:rPr>
          <w:rFonts w:hint="default" w:ascii="Times New Roman" w:hAnsi="Times New Roman" w:eastAsia="方正小标宋简体" w:cs="Times New Roman"/>
          <w:color w:val="auto"/>
          <w:sz w:val="44"/>
          <w:szCs w:val="32"/>
        </w:rPr>
        <w:t>不符合规定项目小知识</w:t>
      </w:r>
    </w:p>
    <w:p w14:paraId="70D2CA3D">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简体" w:cs="Times New Roman"/>
          <w:color w:val="auto"/>
          <w:sz w:val="44"/>
          <w:szCs w:val="32"/>
        </w:rPr>
      </w:pPr>
    </w:p>
    <w:p w14:paraId="33F1CB32">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w:t>
      </w:r>
      <w:r>
        <w:rPr>
          <w:rFonts w:ascii="Times New Roman" w:hAnsi="Times New Roman" w:eastAsia="仿宋_GB2312"/>
          <w:sz w:val="32"/>
          <w:szCs w:val="32"/>
        </w:rPr>
        <w:t>、</w:t>
      </w:r>
      <w:r>
        <w:rPr>
          <w:rFonts w:hint="eastAsia" w:eastAsia="仿宋_GB2312"/>
          <w:sz w:val="32"/>
          <w:szCs w:val="32"/>
          <w:highlight w:val="none"/>
        </w:rPr>
        <w:t>溶出度</w:t>
      </w:r>
      <w:r>
        <w:rPr>
          <w:rFonts w:hint="eastAsia" w:eastAsia="仿宋_GB2312"/>
          <w:sz w:val="32"/>
          <w:szCs w:val="32"/>
        </w:rPr>
        <w:t>系指活性药物从制剂中溶出的速度和程度</w:t>
      </w:r>
      <w:r>
        <w:rPr>
          <w:rFonts w:hint="eastAsia" w:eastAsia="仿宋_GB2312"/>
          <w:sz w:val="32"/>
          <w:szCs w:val="32"/>
          <w:lang w:eastAsia="zh-CN"/>
        </w:rPr>
        <w:t>，不符合规定可能会影响药物的吸收，降低生物利用度</w:t>
      </w:r>
      <w:r>
        <w:rPr>
          <w:rFonts w:hint="default" w:ascii="Times New Roman" w:hAnsi="Times New Roman" w:eastAsia="仿宋_GB2312"/>
          <w:sz w:val="32"/>
          <w:szCs w:val="32"/>
        </w:rPr>
        <w:t>。</w:t>
      </w:r>
    </w:p>
    <w:p w14:paraId="5C694E5E">
      <w:pPr>
        <w:overflowPunct w:val="0"/>
        <w:spacing w:line="590" w:lineRule="exact"/>
        <w:ind w:firstLine="640" w:firstLineChars="200"/>
        <w:rPr>
          <w:rFonts w:hint="eastAsia" w:ascii="Times New Roman" w:hAnsi="Times New Roman" w:eastAsia="仿宋_GB2312"/>
          <w:sz w:val="32"/>
          <w:szCs w:val="32"/>
          <w:lang w:eastAsia="zh-CN"/>
        </w:rPr>
      </w:pPr>
      <w:r>
        <w:rPr>
          <w:rFonts w:hint="default" w:ascii="Times New Roman" w:hAnsi="Times New Roman" w:eastAsia="仿宋_GB2312"/>
          <w:sz w:val="32"/>
          <w:szCs w:val="32"/>
          <w:lang w:eastAsia="zh-CN"/>
        </w:rPr>
        <w:t>二</w:t>
      </w:r>
      <w:r>
        <w:rPr>
          <w:rFonts w:ascii="Times New Roman" w:hAnsi="Times New Roman" w:eastAsia="仿宋_GB2312"/>
          <w:sz w:val="32"/>
          <w:szCs w:val="32"/>
        </w:rPr>
        <w:t>、</w:t>
      </w:r>
      <w:r>
        <w:rPr>
          <w:rFonts w:eastAsia="仿宋_GB2312"/>
          <w:sz w:val="32"/>
          <w:szCs w:val="32"/>
          <w:highlight w:val="none"/>
        </w:rPr>
        <w:t>性状</w:t>
      </w:r>
      <w:r>
        <w:rPr>
          <w:rFonts w:eastAsia="仿宋_GB2312"/>
          <w:sz w:val="32"/>
          <w:szCs w:val="32"/>
        </w:rPr>
        <w:t>项下</w:t>
      </w:r>
      <w:r>
        <w:rPr>
          <w:rFonts w:hint="eastAsia" w:eastAsia="仿宋_GB2312"/>
          <w:sz w:val="32"/>
          <w:szCs w:val="32"/>
        </w:rPr>
        <w:t>常</w:t>
      </w:r>
      <w:r>
        <w:rPr>
          <w:rFonts w:eastAsia="仿宋_GB2312"/>
          <w:sz w:val="32"/>
          <w:szCs w:val="32"/>
        </w:rPr>
        <w:t>记载外观、臭、味、溶解度以及物理常数等，在一定程度上反映药品的质量特性。</w:t>
      </w:r>
      <w:r>
        <w:rPr>
          <w:rFonts w:hint="eastAsia" w:eastAsia="仿宋_GB2312"/>
          <w:sz w:val="32"/>
          <w:szCs w:val="32"/>
          <w:lang w:eastAsia="zh-CN"/>
        </w:rPr>
        <w:t>中药饮片性状项不符合规定，可能涉及药材种属偏差、炮制工艺有瑕疵、储存不当等情形。</w:t>
      </w:r>
    </w:p>
    <w:p w14:paraId="22A41375">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三</w:t>
      </w:r>
      <w:r>
        <w:rPr>
          <w:rFonts w:hint="default" w:ascii="Times New Roman" w:hAnsi="Times New Roman" w:eastAsia="仿宋_GB2312"/>
          <w:sz w:val="32"/>
          <w:szCs w:val="32"/>
        </w:rPr>
        <w:t>、</w:t>
      </w:r>
      <w:r>
        <w:rPr>
          <w:rFonts w:hint="eastAsia" w:eastAsia="仿宋_GB2312"/>
          <w:sz w:val="32"/>
          <w:szCs w:val="32"/>
        </w:rPr>
        <w:t>不溶性微粒系指在生产或使用过程中非故意引入的、不溶于水或有机溶剂的颗粒物。</w:t>
      </w:r>
    </w:p>
    <w:p w14:paraId="2EEF6A27">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四、</w:t>
      </w:r>
      <w:r>
        <w:rPr>
          <w:rFonts w:hint="eastAsia" w:eastAsia="仿宋_GB2312"/>
          <w:sz w:val="32"/>
          <w:szCs w:val="32"/>
          <w:highlight w:val="none"/>
        </w:rPr>
        <w:t>可见异物</w:t>
      </w:r>
      <w:r>
        <w:rPr>
          <w:rFonts w:hint="eastAsia" w:eastAsia="仿宋_GB2312"/>
          <w:sz w:val="32"/>
          <w:szCs w:val="32"/>
        </w:rPr>
        <w:t>系指存在于注射剂、眼用液体制剂中，在规定的目视条件下能够观察到的不溶性物质，其粒径或长度通常大于</w:t>
      </w:r>
      <w:r>
        <w:rPr>
          <w:rFonts w:hint="default" w:ascii="Times New Roman" w:hAnsi="Times New Roman" w:eastAsia="仿宋_GB2312" w:cs="Times New Roman"/>
          <w:sz w:val="32"/>
          <w:szCs w:val="32"/>
        </w:rPr>
        <w:t>50</w:t>
      </w:r>
      <w:r>
        <w:rPr>
          <w:rFonts w:eastAsia="仿宋_GB2312"/>
          <w:sz w:val="32"/>
          <w:szCs w:val="32"/>
        </w:rPr>
        <w:t>微米。</w:t>
      </w:r>
    </w:p>
    <w:p w14:paraId="213220EB">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五</w:t>
      </w:r>
      <w:r>
        <w:rPr>
          <w:rFonts w:hint="default" w:ascii="Times New Roman" w:hAnsi="Times New Roman" w:eastAsia="仿宋_GB2312"/>
          <w:sz w:val="32"/>
          <w:szCs w:val="32"/>
        </w:rPr>
        <w:t>、</w:t>
      </w:r>
      <w:r>
        <w:rPr>
          <w:rFonts w:hint="eastAsia" w:eastAsia="仿宋_GB2312"/>
          <w:sz w:val="32"/>
          <w:szCs w:val="32"/>
          <w:highlight w:val="none"/>
        </w:rPr>
        <w:t>有关物质</w:t>
      </w:r>
      <w:r>
        <w:rPr>
          <w:rFonts w:hint="eastAsia" w:eastAsia="仿宋_GB2312"/>
          <w:sz w:val="32"/>
          <w:szCs w:val="32"/>
        </w:rPr>
        <w:t>系指药品中的有机杂质，是反映药品纯度的指标</w:t>
      </w:r>
      <w:r>
        <w:rPr>
          <w:rFonts w:hint="eastAsia" w:eastAsia="仿宋_GB2312"/>
          <w:sz w:val="32"/>
          <w:szCs w:val="32"/>
          <w:lang w:eastAsia="zh-CN"/>
        </w:rPr>
        <w:t>，主要来源为制备过程中带入的杂质和药品在贮藏或运输中降解产生的杂质</w:t>
      </w:r>
      <w:r>
        <w:rPr>
          <w:rFonts w:hint="eastAsia" w:eastAsia="仿宋_GB2312"/>
          <w:sz w:val="32"/>
          <w:szCs w:val="32"/>
        </w:rPr>
        <w:t>。</w:t>
      </w:r>
    </w:p>
    <w:p w14:paraId="2F7BAEF9">
      <w:pPr>
        <w:overflowPunct w:val="0"/>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lang w:eastAsia="zh-CN"/>
        </w:rPr>
        <w:t>六</w:t>
      </w:r>
      <w:r>
        <w:rPr>
          <w:rFonts w:hint="default" w:ascii="Times New Roman" w:hAnsi="Times New Roman" w:eastAsia="仿宋_GB2312"/>
          <w:sz w:val="32"/>
          <w:szCs w:val="32"/>
        </w:rPr>
        <w:t>、</w:t>
      </w:r>
      <w:r>
        <w:rPr>
          <w:rFonts w:hint="default" w:ascii="Times New Roman" w:hAnsi="Times New Roman" w:eastAsia="仿宋_GB2312" w:cs="Times New Roman"/>
          <w:sz w:val="32"/>
          <w:szCs w:val="32"/>
        </w:rPr>
        <w:t>pH</w:t>
      </w:r>
      <w:r>
        <w:rPr>
          <w:rFonts w:hint="eastAsia" w:eastAsia="仿宋_GB2312"/>
          <w:sz w:val="32"/>
          <w:szCs w:val="32"/>
        </w:rPr>
        <w:t>值系指氢离子浓度指数，作为酸碱程度的衡量指标。</w:t>
      </w:r>
    </w:p>
    <w:p w14:paraId="24E3741A">
      <w:pPr>
        <w:overflowPunct w:val="0"/>
        <w:spacing w:line="59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lang w:eastAsia="zh-CN"/>
        </w:rPr>
        <w:t>七</w:t>
      </w:r>
      <w:r>
        <w:rPr>
          <w:rFonts w:hint="default" w:ascii="Times New Roman" w:hAnsi="Times New Roman" w:eastAsia="仿宋_GB2312"/>
          <w:sz w:val="32"/>
          <w:szCs w:val="32"/>
        </w:rPr>
        <w:t>、</w:t>
      </w:r>
      <w:r>
        <w:rPr>
          <w:rFonts w:hint="eastAsia" w:eastAsia="仿宋_GB2312"/>
          <w:sz w:val="32"/>
          <w:szCs w:val="32"/>
          <w:highlight w:val="none"/>
        </w:rPr>
        <w:t>活力测定</w:t>
      </w:r>
      <w:r>
        <w:rPr>
          <w:rFonts w:hint="eastAsia" w:eastAsia="仿宋_GB2312"/>
          <w:sz w:val="32"/>
          <w:szCs w:val="32"/>
        </w:rPr>
        <w:t>系反</w:t>
      </w:r>
      <w:r>
        <w:rPr>
          <w:rFonts w:hint="eastAsia" w:eastAsia="仿宋_GB2312"/>
          <w:sz w:val="32"/>
          <w:szCs w:val="32"/>
          <w:lang w:eastAsia="zh-CN"/>
        </w:rPr>
        <w:t>映</w:t>
      </w:r>
      <w:r>
        <w:rPr>
          <w:rFonts w:hint="eastAsia" w:eastAsia="仿宋_GB2312"/>
          <w:sz w:val="32"/>
          <w:szCs w:val="32"/>
        </w:rPr>
        <w:t>产品生物活性的指标，是产品有效性的重要参数之一</w:t>
      </w:r>
      <w:r>
        <w:rPr>
          <w:rFonts w:ascii="Times New Roman" w:hAnsi="Times New Roman" w:eastAsia="仿宋_GB2312"/>
          <w:sz w:val="32"/>
          <w:szCs w:val="32"/>
        </w:rPr>
        <w:t>。</w:t>
      </w:r>
    </w:p>
    <w:p w14:paraId="2FD5CD27">
      <w:pPr>
        <w:overflowPunct w:val="0"/>
        <w:spacing w:line="590" w:lineRule="exact"/>
        <w:ind w:firstLine="640" w:firstLineChars="200"/>
        <w:rPr>
          <w:rFonts w:hint="eastAsia" w:eastAsia="仿宋_GB2312"/>
          <w:sz w:val="32"/>
          <w:szCs w:val="32"/>
        </w:rPr>
      </w:pPr>
      <w:r>
        <w:rPr>
          <w:rFonts w:hint="default" w:ascii="Times New Roman" w:hAnsi="Times New Roman" w:eastAsia="仿宋_GB2312"/>
          <w:sz w:val="32"/>
          <w:szCs w:val="32"/>
          <w:lang w:eastAsia="zh-CN"/>
        </w:rPr>
        <w:t>八、</w:t>
      </w:r>
      <w:r>
        <w:rPr>
          <w:rFonts w:hint="eastAsia" w:eastAsia="仿宋_GB2312"/>
          <w:sz w:val="32"/>
          <w:szCs w:val="32"/>
          <w:highlight w:val="none"/>
        </w:rPr>
        <w:t>微生物</w:t>
      </w:r>
      <w:r>
        <w:rPr>
          <w:rFonts w:hint="eastAsia" w:eastAsia="仿宋_GB2312"/>
          <w:sz w:val="32"/>
          <w:szCs w:val="32"/>
        </w:rPr>
        <w:t>限度系</w:t>
      </w:r>
      <w:r>
        <w:rPr>
          <w:rFonts w:hint="eastAsia" w:eastAsia="仿宋_GB2312"/>
          <w:sz w:val="32"/>
          <w:szCs w:val="32"/>
          <w:lang w:eastAsia="zh-CN"/>
        </w:rPr>
        <w:t>指</w:t>
      </w:r>
      <w:r>
        <w:rPr>
          <w:rFonts w:hint="eastAsia" w:eastAsia="仿宋_GB2312"/>
          <w:sz w:val="32"/>
          <w:szCs w:val="32"/>
        </w:rPr>
        <w:t>对非直接进入人体内环境的药物制剂的微生物控制要求</w:t>
      </w:r>
      <w:r>
        <w:rPr>
          <w:rFonts w:hint="eastAsia" w:eastAsia="仿宋_GB2312"/>
          <w:sz w:val="32"/>
          <w:szCs w:val="32"/>
          <w:lang w:eastAsia="zh-CN"/>
        </w:rPr>
        <w:t>，分为计数检查和控制菌检查两部分</w:t>
      </w:r>
      <w:r>
        <w:rPr>
          <w:rFonts w:hint="eastAsia" w:eastAsia="仿宋_GB2312"/>
          <w:sz w:val="32"/>
          <w:szCs w:val="32"/>
        </w:rPr>
        <w:t>。</w:t>
      </w:r>
    </w:p>
    <w:p w14:paraId="7881996E">
      <w:pPr>
        <w:overflowPunct w:val="0"/>
        <w:spacing w:line="590" w:lineRule="exact"/>
        <w:ind w:firstLine="640" w:firstLineChars="200"/>
        <w:rPr>
          <w:rFonts w:hint="eastAsia" w:eastAsia="仿宋_GB2312"/>
          <w:sz w:val="32"/>
          <w:szCs w:val="32"/>
        </w:rPr>
      </w:pPr>
      <w:r>
        <w:rPr>
          <w:rFonts w:hint="default" w:ascii="Times New Roman" w:hAnsi="Times New Roman" w:eastAsia="仿宋_GB2312"/>
          <w:sz w:val="32"/>
          <w:szCs w:val="32"/>
          <w:lang w:eastAsia="zh-CN"/>
        </w:rPr>
        <w:t>九</w:t>
      </w:r>
      <w:r>
        <w:rPr>
          <w:rFonts w:hint="default" w:ascii="Times New Roman" w:hAnsi="Times New Roman" w:eastAsia="仿宋_GB2312"/>
          <w:sz w:val="32"/>
          <w:szCs w:val="32"/>
        </w:rPr>
        <w:t>、</w:t>
      </w:r>
      <w:r>
        <w:rPr>
          <w:rFonts w:hint="eastAsia" w:eastAsia="仿宋_GB2312"/>
          <w:sz w:val="32"/>
          <w:szCs w:val="32"/>
          <w:highlight w:val="none"/>
        </w:rPr>
        <w:t>鉴别</w:t>
      </w:r>
      <w:r>
        <w:rPr>
          <w:rFonts w:hint="eastAsia" w:eastAsia="仿宋_GB2312"/>
          <w:sz w:val="32"/>
          <w:szCs w:val="32"/>
        </w:rPr>
        <w:t>项主要用于区分药品特性，其手段包括显微鉴别、光谱鉴别等，</w:t>
      </w:r>
      <w:r>
        <w:rPr>
          <w:rFonts w:hint="eastAsia" w:eastAsia="仿宋_GB2312"/>
          <w:sz w:val="32"/>
          <w:szCs w:val="32"/>
          <w:lang w:eastAsia="zh-CN"/>
        </w:rPr>
        <w:t>液相色谱法和</w:t>
      </w:r>
      <w:r>
        <w:rPr>
          <w:rFonts w:hint="eastAsia" w:eastAsia="仿宋_GB2312"/>
          <w:sz w:val="32"/>
          <w:szCs w:val="32"/>
        </w:rPr>
        <w:t>薄层色谱法是常用的鉴别方法。</w:t>
      </w:r>
    </w:p>
    <w:p w14:paraId="4EBC0FC1">
      <w:pPr>
        <w:overflowPunct w:val="0"/>
        <w:spacing w:line="590" w:lineRule="exact"/>
        <w:ind w:firstLine="640" w:firstLineChars="200"/>
        <w:rPr>
          <w:rFonts w:hint="eastAsia" w:ascii="仿宋_GB2312" w:hAnsi="华文仿宋" w:eastAsia="仿宋_GB2312"/>
          <w:sz w:val="32"/>
          <w:szCs w:val="32"/>
        </w:rPr>
      </w:pPr>
      <w:r>
        <w:rPr>
          <w:rFonts w:hint="default" w:ascii="Times New Roman" w:hAnsi="Times New Roman" w:eastAsia="仿宋_GB2312"/>
          <w:sz w:val="32"/>
          <w:szCs w:val="32"/>
          <w:lang w:eastAsia="zh-CN"/>
        </w:rPr>
        <w:t>十</w:t>
      </w:r>
      <w:r>
        <w:rPr>
          <w:rFonts w:hint="default" w:ascii="Times New Roman" w:hAnsi="Times New Roman" w:eastAsia="仿宋_GB2312"/>
          <w:sz w:val="32"/>
          <w:szCs w:val="32"/>
        </w:rPr>
        <w:t>、</w:t>
      </w:r>
      <w:r>
        <w:rPr>
          <w:rFonts w:hint="eastAsia" w:eastAsia="仿宋_GB2312"/>
          <w:sz w:val="32"/>
          <w:szCs w:val="32"/>
          <w:highlight w:val="none"/>
        </w:rPr>
        <w:t>其他有</w:t>
      </w:r>
      <w:r>
        <w:rPr>
          <w:rFonts w:hint="eastAsia" w:eastAsia="仿宋_GB2312"/>
          <w:sz w:val="32"/>
          <w:szCs w:val="32"/>
        </w:rPr>
        <w:t>机氯类农药残留量旨在检查五氯硝基苯等农药的残留量。</w:t>
      </w:r>
    </w:p>
    <w:p w14:paraId="5FDA4A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75EF"/>
    <w:rsid w:val="324D75EF"/>
    <w:rsid w:val="775DA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2025-12-04T10:05:00Z</dcterms:created>
  <dc:creator>新祺</dc:creator>
  <cp:lastModifiedBy>熊猫先生</cp:lastModifiedBy>
  <dcterms:modified xsi:type="dcterms:W3CDTF">2025-12-04T14:18:13Z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B8856CB5C1323D6AA5273169A4513281_43</vt:lpwstr>
  </property>
  <property fmtid="{D5CDD505-2E9C-101B-9397-08002B2CF9AE}" pid="4" name="KSOTemplateDocerSaveRecord">
    <vt:lpwstr>eyJoZGlkIjoiNzUzMjcxYjI3MDRjMDIwZmVmYTgzNGM3MjE3OGJkMDMiLCJ1c2VySWQiOiIyNzgyMDExNzcifQ==</vt:lpwstr>
  </property>
</Properties>
</file>