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C810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197F249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黑体" w:cs="Times New Roman"/>
          <w:sz w:val="32"/>
          <w:szCs w:val="32"/>
          <w:highlight w:val="none"/>
          <w:lang w:val="en-US" w:eastAsia="zh-CN"/>
        </w:rPr>
      </w:pPr>
    </w:p>
    <w:p w14:paraId="7E0662A7">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3"/>
          <w:sz w:val="44"/>
          <w:szCs w:val="44"/>
          <w:lang w:val="en-US" w:eastAsia="zh-CN"/>
        </w:rPr>
      </w:pPr>
      <w:r>
        <w:rPr>
          <w:rFonts w:hint="default" w:ascii="Times New Roman" w:hAnsi="Times New Roman" w:eastAsia="方正小标宋简体" w:cs="Times New Roman"/>
          <w:w w:val="93"/>
          <w:sz w:val="44"/>
          <w:szCs w:val="44"/>
        </w:rPr>
        <w:t>《</w:t>
      </w:r>
      <w:r>
        <w:rPr>
          <w:rFonts w:hint="default" w:ascii="Times New Roman" w:hAnsi="Times New Roman" w:eastAsia="方正小标宋简体" w:cs="Times New Roman"/>
          <w:w w:val="93"/>
          <w:sz w:val="44"/>
          <w:szCs w:val="44"/>
          <w:lang w:val="en-US" w:eastAsia="zh-CN"/>
        </w:rPr>
        <w:t>国家药监局 国家卫生健康委 国家中医药局</w:t>
      </w:r>
    </w:p>
    <w:p w14:paraId="17DD03B6">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3"/>
          <w:sz w:val="44"/>
          <w:szCs w:val="44"/>
        </w:rPr>
      </w:pPr>
      <w:r>
        <w:rPr>
          <w:rFonts w:hint="default" w:ascii="Times New Roman" w:hAnsi="Times New Roman" w:eastAsia="方正小标宋简体" w:cs="Times New Roman"/>
          <w:w w:val="93"/>
          <w:sz w:val="44"/>
          <w:szCs w:val="44"/>
        </w:rPr>
        <w:t>关于进一步推进药品上市许可持有人加快开展</w:t>
      </w:r>
    </w:p>
    <w:p w14:paraId="53265AA9">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w w:val="93"/>
          <w:sz w:val="44"/>
          <w:szCs w:val="44"/>
        </w:rPr>
      </w:pPr>
      <w:r>
        <w:rPr>
          <w:rFonts w:hint="default" w:ascii="Times New Roman" w:hAnsi="Times New Roman" w:eastAsia="方正小标宋简体" w:cs="Times New Roman"/>
          <w:w w:val="93"/>
          <w:sz w:val="44"/>
          <w:szCs w:val="44"/>
        </w:rPr>
        <w:t>中药注射剂上市后研究和评价工作的公告</w:t>
      </w:r>
    </w:p>
    <w:p w14:paraId="4918BB47">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ascii="Times New Roman" w:hAnsi="Times New Roman" w:eastAsia="方正小标宋简体" w:cs="Times New Roman"/>
          <w:w w:val="93"/>
          <w:sz w:val="44"/>
          <w:szCs w:val="44"/>
        </w:rPr>
      </w:pPr>
      <w:r>
        <w:rPr>
          <w:rFonts w:hint="default" w:ascii="Times New Roman" w:hAnsi="Times New Roman" w:eastAsia="方正小标宋简体" w:cs="Times New Roman"/>
          <w:w w:val="93"/>
          <w:sz w:val="44"/>
          <w:szCs w:val="44"/>
          <w:lang w:eastAsia="zh-CN"/>
        </w:rPr>
        <w:t>（征求意见稿）</w:t>
      </w:r>
      <w:r>
        <w:rPr>
          <w:rFonts w:hint="default" w:ascii="Times New Roman" w:hAnsi="Times New Roman" w:eastAsia="方正小标宋简体" w:cs="Times New Roman"/>
          <w:w w:val="93"/>
          <w:sz w:val="44"/>
          <w:szCs w:val="44"/>
        </w:rPr>
        <w:t>》起草说明</w:t>
      </w:r>
    </w:p>
    <w:p w14:paraId="3655549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38D780B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为进一步贯彻落实《药品管理法》</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《国务院办公厅关</w:t>
      </w:r>
      <w:bookmarkStart w:id="0" w:name="_GoBack"/>
      <w:bookmarkEnd w:id="0"/>
      <w:r>
        <w:rPr>
          <w:rFonts w:hint="default" w:ascii="Times New Roman" w:hAnsi="Times New Roman" w:eastAsia="仿宋_GB2312" w:cs="Times New Roman"/>
          <w:sz w:val="32"/>
          <w:szCs w:val="32"/>
        </w:rPr>
        <w:t>于全面深化药品医疗器械监管改革促进医药产业高质量发展的意见》（国办发〔2024〕53号）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《国务院办公厅关于提升中药质量促进中医药产业高质量发展的意见》（国办发〔2025〕11号）等有关规定，国家药监局</w:t>
      </w:r>
      <w:r>
        <w:rPr>
          <w:rFonts w:hint="eastAsia" w:ascii="Times New Roman" w:hAnsi="Times New Roman" w:eastAsia="仿宋_GB2312" w:cs="Times New Roman"/>
          <w:sz w:val="32"/>
          <w:szCs w:val="32"/>
          <w:lang w:eastAsia="zh-CN"/>
        </w:rPr>
        <w:t>会同国家卫生健康委、国家中医药局</w:t>
      </w:r>
      <w:r>
        <w:rPr>
          <w:rFonts w:hint="default" w:ascii="Times New Roman" w:hAnsi="Times New Roman" w:eastAsia="仿宋_GB2312" w:cs="Times New Roman"/>
          <w:sz w:val="32"/>
          <w:szCs w:val="32"/>
        </w:rPr>
        <w:t>根据现阶段药品科学发展和监管能力建设等实际，积极推进《关于进一步推进药品上市许可持有人加快</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中药注射剂上市后研究和评价工作的公告》（以下简称《公告》）的</w:t>
      </w:r>
      <w:r>
        <w:rPr>
          <w:rFonts w:hint="default" w:ascii="Times New Roman" w:hAnsi="Times New Roman" w:eastAsia="仿宋_GB2312" w:cs="Times New Roman"/>
          <w:sz w:val="32"/>
          <w:szCs w:val="32"/>
          <w:lang w:eastAsia="zh-CN"/>
        </w:rPr>
        <w:t>研究</w:t>
      </w:r>
      <w:r>
        <w:rPr>
          <w:rFonts w:hint="default" w:ascii="Times New Roman" w:hAnsi="Times New Roman" w:eastAsia="仿宋_GB2312" w:cs="Times New Roman"/>
          <w:sz w:val="32"/>
          <w:szCs w:val="32"/>
        </w:rPr>
        <w:t>起草工作。现将情况说明如下：</w:t>
      </w:r>
    </w:p>
    <w:p w14:paraId="4F49AA1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rPr>
        <w:t>一、起草过程</w:t>
      </w:r>
    </w:p>
    <w:p w14:paraId="1F30CB6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为推进持有人落实《药品管理法》有关上市后药品管理的主体责任，贯彻落实党中央、国务院关于促进中医药传承创新发展的部署，</w:t>
      </w:r>
      <w:r>
        <w:rPr>
          <w:rFonts w:hint="default" w:ascii="Times New Roman" w:hAnsi="Times New Roman" w:eastAsia="仿宋_GB2312" w:cs="Times New Roman"/>
          <w:sz w:val="32"/>
          <w:szCs w:val="32"/>
          <w:lang w:val="en-US" w:eastAsia="zh-CN"/>
        </w:rPr>
        <w:t>国家药监局持续加强中药注射剂监管，推进</w:t>
      </w:r>
      <w:r>
        <w:rPr>
          <w:rFonts w:hint="eastAsia" w:ascii="Times New Roman" w:hAnsi="Times New Roman" w:eastAsia="仿宋_GB2312" w:cs="Times New Roman"/>
          <w:color w:val="auto"/>
          <w:sz w:val="32"/>
          <w:szCs w:val="32"/>
          <w:lang w:val="en-US" w:eastAsia="zh-CN"/>
        </w:rPr>
        <w:t>中药注射剂</w:t>
      </w:r>
      <w:r>
        <w:rPr>
          <w:rFonts w:hint="default" w:ascii="Times New Roman" w:hAnsi="Times New Roman" w:eastAsia="仿宋_GB2312" w:cs="Times New Roman"/>
          <w:color w:val="auto"/>
          <w:sz w:val="32"/>
          <w:szCs w:val="32"/>
          <w:lang w:val="en-US" w:eastAsia="zh-CN"/>
        </w:rPr>
        <w:t>持有人开展</w:t>
      </w:r>
      <w:r>
        <w:rPr>
          <w:rFonts w:hint="eastAsia" w:ascii="Times New Roman" w:hAnsi="Times New Roman" w:eastAsia="仿宋_GB2312" w:cs="Times New Roman"/>
          <w:color w:val="auto"/>
          <w:sz w:val="32"/>
          <w:szCs w:val="32"/>
          <w:lang w:val="en-US" w:eastAsia="zh-CN"/>
        </w:rPr>
        <w:t>上市后研究和评价</w:t>
      </w:r>
      <w:r>
        <w:rPr>
          <w:rFonts w:hint="default" w:ascii="Times New Roman" w:hAnsi="Times New Roman" w:eastAsia="仿宋_GB2312" w:cs="Times New Roman"/>
          <w:color w:val="auto"/>
          <w:sz w:val="32"/>
          <w:szCs w:val="32"/>
          <w:lang w:val="en-US" w:eastAsia="zh-CN"/>
        </w:rPr>
        <w:t>有关</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lang w:val="en-US" w:eastAsia="zh-CN"/>
        </w:rPr>
        <w:t>。为做好相关工作，国家药监局组织</w:t>
      </w:r>
      <w:r>
        <w:rPr>
          <w:rFonts w:hint="eastAsia" w:ascii="Times New Roman" w:hAnsi="Times New Roman" w:eastAsia="仿宋_GB2312" w:cs="Times New Roman"/>
          <w:color w:val="auto"/>
          <w:sz w:val="32"/>
          <w:szCs w:val="32"/>
          <w:lang w:val="en-US" w:eastAsia="zh-CN"/>
        </w:rPr>
        <w:t>开展了</w:t>
      </w:r>
      <w:r>
        <w:rPr>
          <w:rFonts w:hint="default" w:ascii="Times New Roman" w:hAnsi="Times New Roman" w:eastAsia="仿宋_GB2312" w:cs="Times New Roman"/>
          <w:color w:val="auto"/>
          <w:sz w:val="32"/>
          <w:szCs w:val="32"/>
          <w:lang w:val="en-US" w:eastAsia="zh-CN"/>
        </w:rPr>
        <w:t>相关课题研究，对相关工作进行论证，</w:t>
      </w:r>
      <w:r>
        <w:rPr>
          <w:rFonts w:hint="eastAsia" w:ascii="Times New Roman" w:hAnsi="Times New Roman" w:eastAsia="仿宋_GB2312" w:cs="Times New Roman"/>
          <w:color w:val="auto"/>
          <w:sz w:val="32"/>
          <w:szCs w:val="32"/>
          <w:lang w:val="en-US" w:eastAsia="zh-CN"/>
        </w:rPr>
        <w:t>采取座谈会、咨询会、实地走访</w:t>
      </w:r>
      <w:r>
        <w:rPr>
          <w:rFonts w:hint="default" w:ascii="Times New Roman" w:hAnsi="Times New Roman" w:eastAsia="仿宋_GB2312" w:cs="Times New Roman"/>
          <w:color w:val="auto"/>
          <w:sz w:val="32"/>
          <w:szCs w:val="32"/>
          <w:lang w:val="en-US" w:eastAsia="zh-CN"/>
        </w:rPr>
        <w:t>调研</w:t>
      </w:r>
      <w:r>
        <w:rPr>
          <w:rFonts w:hint="eastAsia" w:ascii="Times New Roman" w:hAnsi="Times New Roman" w:eastAsia="仿宋_GB2312" w:cs="Times New Roman"/>
          <w:color w:val="auto"/>
          <w:sz w:val="32"/>
          <w:szCs w:val="32"/>
          <w:lang w:val="en-US" w:eastAsia="zh-CN"/>
        </w:rPr>
        <w:t>等多种形式充分听取各方意见，</w:t>
      </w:r>
      <w:r>
        <w:rPr>
          <w:rFonts w:hint="default" w:ascii="Times New Roman" w:hAnsi="Times New Roman" w:eastAsia="仿宋_GB2312" w:cs="Times New Roman"/>
          <w:sz w:val="32"/>
          <w:szCs w:val="32"/>
        </w:rPr>
        <w:t>成立已上市中药注射剂上市后研究和评价专家工作组</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听取专家工作组意见</w:t>
      </w:r>
      <w:r>
        <w:rPr>
          <w:rFonts w:hint="eastAsia" w:ascii="Times New Roman" w:hAnsi="Times New Roman" w:eastAsia="仿宋_GB2312" w:cs="Times New Roman"/>
          <w:sz w:val="32"/>
          <w:szCs w:val="32"/>
          <w:lang w:eastAsia="zh-CN"/>
        </w:rPr>
        <w:t>，研究起草了</w:t>
      </w:r>
      <w:r>
        <w:rPr>
          <w:rFonts w:hint="default" w:ascii="Times New Roman" w:hAnsi="Times New Roman" w:eastAsia="仿宋_GB2312" w:cs="Times New Roman"/>
          <w:sz w:val="32"/>
          <w:szCs w:val="32"/>
        </w:rPr>
        <w:t>《公告》</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color w:val="000000"/>
          <w:sz w:val="32"/>
          <w:szCs w:val="32"/>
          <w:lang w:eastAsia="zh-CN"/>
        </w:rPr>
        <w:t>通过书面或者座谈会方式征求</w:t>
      </w:r>
      <w:r>
        <w:rPr>
          <w:rFonts w:hint="default" w:ascii="Times New Roman" w:hAnsi="Times New Roman" w:eastAsia="仿宋_GB2312" w:cs="Times New Roman"/>
          <w:color w:val="000000"/>
          <w:sz w:val="32"/>
          <w:szCs w:val="32"/>
        </w:rPr>
        <w:t>了局内相关司、直属单位以及相关部委、行业协会学会、</w:t>
      </w:r>
      <w:r>
        <w:rPr>
          <w:rFonts w:hint="eastAsia" w:ascii="Times New Roman" w:hAnsi="Times New Roman" w:eastAsia="仿宋_GB2312" w:cs="Times New Roman"/>
          <w:color w:val="000000"/>
          <w:sz w:val="32"/>
          <w:szCs w:val="32"/>
          <w:lang w:eastAsia="zh-CN"/>
        </w:rPr>
        <w:t>各省级局、</w:t>
      </w:r>
      <w:r>
        <w:rPr>
          <w:rFonts w:hint="default" w:ascii="Times New Roman" w:hAnsi="Times New Roman" w:eastAsia="仿宋_GB2312" w:cs="Times New Roman"/>
          <w:color w:val="000000"/>
          <w:sz w:val="32"/>
          <w:szCs w:val="32"/>
        </w:rPr>
        <w:t>专家、企业等</w:t>
      </w:r>
      <w:r>
        <w:rPr>
          <w:rFonts w:hint="eastAsia"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意见和建议，积极采纳</w:t>
      </w:r>
      <w:r>
        <w:rPr>
          <w:rFonts w:hint="eastAsia" w:ascii="Times New Roman" w:hAnsi="Times New Roman" w:eastAsia="仿宋_GB2312" w:cs="Times New Roman"/>
          <w:color w:val="000000"/>
          <w:sz w:val="32"/>
          <w:szCs w:val="32"/>
          <w:lang w:eastAsia="zh-CN"/>
        </w:rPr>
        <w:t>合理意见建议，修改完善形成</w:t>
      </w:r>
      <w:r>
        <w:rPr>
          <w:rFonts w:hint="eastAsia" w:ascii="Times New Roman" w:hAnsi="Times New Roman" w:eastAsia="仿宋_GB2312" w:cs="Times New Roman"/>
          <w:sz w:val="32"/>
          <w:szCs w:val="32"/>
          <w:highlight w:val="none"/>
          <w:lang w:val="en-US" w:eastAsia="zh-CN"/>
        </w:rPr>
        <w:t>《公告》</w:t>
      </w:r>
      <w:r>
        <w:rPr>
          <w:rFonts w:hint="default" w:ascii="Times New Roman" w:hAnsi="Times New Roman" w:eastAsia="仿宋_GB2312" w:cs="Times New Roman"/>
          <w:sz w:val="32"/>
          <w:szCs w:val="32"/>
          <w:lang w:eastAsia="zh-CN"/>
        </w:rPr>
        <w:t>征求意见稿</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同时，还组织起草了与《公告》相配套的工作方案和相关技术要求。</w:t>
      </w:r>
    </w:p>
    <w:p w14:paraId="0B32351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黑体" w:cs="Times New Roman"/>
          <w:sz w:val="32"/>
          <w:szCs w:val="32"/>
        </w:rPr>
        <w:t>二、主要内容</w:t>
      </w:r>
    </w:p>
    <w:p w14:paraId="644D5F1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公告</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依法</w:t>
      </w:r>
      <w:r>
        <w:rPr>
          <w:rFonts w:hint="default" w:ascii="Times New Roman" w:hAnsi="Times New Roman" w:eastAsia="仿宋_GB2312" w:cs="Times New Roman"/>
          <w:color w:val="000000"/>
          <w:sz w:val="32"/>
          <w:szCs w:val="32"/>
        </w:rPr>
        <w:t>推进</w:t>
      </w:r>
      <w:r>
        <w:rPr>
          <w:rFonts w:hint="default" w:ascii="Times New Roman" w:hAnsi="Times New Roman" w:eastAsia="仿宋_GB2312" w:cs="Times New Roman"/>
          <w:sz w:val="32"/>
          <w:szCs w:val="32"/>
        </w:rPr>
        <w:t>药品上市许可持有人（以下简称持有人）主</w:t>
      </w:r>
      <w:r>
        <w:rPr>
          <w:rFonts w:hint="eastAsia" w:ascii="Times New Roman" w:hAnsi="Times New Roman" w:eastAsia="仿宋_GB2312" w:cs="Times New Roman"/>
          <w:color w:val="000000"/>
          <w:sz w:val="32"/>
          <w:szCs w:val="32"/>
          <w:lang w:bidi="ar"/>
        </w:rPr>
        <w:t>动加快开展中药注射剂上市后研究和评价工作</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sz w:val="32"/>
          <w:lang w:val="en-US" w:eastAsia="zh-CN"/>
        </w:rPr>
        <w:t>进一步</w:t>
      </w:r>
      <w:r>
        <w:rPr>
          <w:rFonts w:hint="eastAsia" w:ascii="Times New Roman" w:hAnsi="Times New Roman" w:eastAsia="仿宋_GB2312" w:cs="Times New Roman"/>
          <w:color w:val="000000"/>
          <w:kern w:val="2"/>
          <w:sz w:val="32"/>
          <w:szCs w:val="32"/>
          <w:lang w:val="en-US" w:eastAsia="zh-CN" w:bidi="ar"/>
        </w:rPr>
        <w:t>明确工作程序、路径、要求等，</w:t>
      </w:r>
      <w:r>
        <w:rPr>
          <w:rFonts w:hint="eastAsia" w:ascii="Times New Roman" w:hAnsi="Times New Roman" w:eastAsia="仿宋_GB2312" w:cs="Times New Roman"/>
          <w:color w:val="000000"/>
          <w:sz w:val="32"/>
          <w:szCs w:val="32"/>
          <w:lang w:val="en-US" w:eastAsia="zh-CN" w:bidi="ar"/>
        </w:rPr>
        <w:t>针对不同情形分类采取监管措施，通过</w:t>
      </w:r>
      <w:r>
        <w:rPr>
          <w:rFonts w:hint="eastAsia" w:ascii="Times New Roman" w:hAnsi="Times New Roman" w:eastAsia="仿宋_GB2312" w:cs="Times New Roman"/>
          <w:color w:val="000000"/>
          <w:kern w:val="2"/>
          <w:sz w:val="32"/>
          <w:szCs w:val="32"/>
          <w:lang w:val="en-US" w:eastAsia="zh-CN" w:bidi="ar"/>
        </w:rPr>
        <w:t>主动开展与责令开展相结合</w:t>
      </w:r>
      <w:r>
        <w:rPr>
          <w:rFonts w:hint="default" w:ascii="Times New Roman" w:hAnsi="Times New Roman" w:eastAsia="仿宋_GB2312" w:cs="Times New Roman"/>
          <w:color w:val="000000"/>
          <w:kern w:val="2"/>
          <w:sz w:val="32"/>
          <w:szCs w:val="32"/>
          <w:lang w:val="en-US" w:eastAsia="zh-CN" w:bidi="ar"/>
        </w:rPr>
        <w:t>的方式，</w:t>
      </w:r>
      <w:r>
        <w:rPr>
          <w:rFonts w:hint="eastAsia" w:ascii="Times New Roman" w:hAnsi="Times New Roman" w:eastAsia="仿宋_GB2312" w:cs="Times New Roman"/>
          <w:color w:val="000000"/>
          <w:sz w:val="32"/>
          <w:szCs w:val="32"/>
          <w:lang w:val="en-US" w:eastAsia="zh-CN" w:bidi="ar"/>
        </w:rPr>
        <w:t>稳步推进工作，实现主动评价一批、责令评价一批、依法淘汰一批。</w:t>
      </w:r>
      <w:r>
        <w:rPr>
          <w:rFonts w:ascii="Times New Roman" w:hAnsi="Times New Roman" w:eastAsia="仿宋_GB2312" w:cs="Times New Roman"/>
          <w:sz w:val="32"/>
          <w:szCs w:val="32"/>
        </w:rPr>
        <w:t>《公告》共有十条，包括该项工作的适用范围、主体责任、预期临床</w:t>
      </w:r>
      <w:r>
        <w:rPr>
          <w:rFonts w:hint="default" w:ascii="Times New Roman" w:hAnsi="Times New Roman" w:eastAsia="仿宋_GB2312" w:cs="Times New Roman"/>
          <w:sz w:val="32"/>
          <w:szCs w:val="32"/>
          <w:lang w:eastAsia="zh-CN"/>
        </w:rPr>
        <w:t>安全性和有效性</w:t>
      </w:r>
      <w:r>
        <w:rPr>
          <w:rFonts w:ascii="Times New Roman" w:hAnsi="Times New Roman" w:eastAsia="仿宋_GB2312" w:cs="Times New Roman"/>
          <w:sz w:val="32"/>
          <w:szCs w:val="32"/>
        </w:rPr>
        <w:t>评估、研究评价要求、工作程序</w:t>
      </w:r>
      <w:r>
        <w:rPr>
          <w:rFonts w:hint="default" w:ascii="Times New Roman" w:hAnsi="Times New Roman" w:eastAsia="仿宋_GB2312" w:cs="Times New Roman"/>
          <w:sz w:val="32"/>
          <w:szCs w:val="32"/>
        </w:rPr>
        <w:t>、评价意见和措施、鼓励措施、监管措施、保障措施和实施日期。主要内容如下：</w:t>
      </w:r>
    </w:p>
    <w:p w14:paraId="736B05E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适用范围。考虑到《药品管理法》（2019年修订）第八十三条规定药品上市许可持有人应当对已上市药品的安全性、有效性和质量可控性定期开展上市后评价。为与《药品管理法》衔接，</w:t>
      </w:r>
      <w:r>
        <w:rPr>
          <w:rFonts w:ascii="Times New Roman" w:hAnsi="Times New Roman" w:eastAsia="仿宋_GB2312" w:cs="Times New Roman"/>
          <w:sz w:val="32"/>
          <w:szCs w:val="32"/>
        </w:rPr>
        <w:t>《公告》</w:t>
      </w:r>
      <w:r>
        <w:rPr>
          <w:rFonts w:hint="default" w:ascii="Times New Roman" w:hAnsi="Times New Roman" w:eastAsia="仿宋_GB2312" w:cs="Times New Roman"/>
          <w:sz w:val="32"/>
          <w:szCs w:val="32"/>
        </w:rPr>
        <w:t>适用范围限定为《药品管理法》（2019年修订）实施前已上市的中药注射剂。</w:t>
      </w:r>
    </w:p>
    <w:p w14:paraId="32B91DB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体责任。一是强调持有人应当严格履行中药注射剂质量安全的主体责任，依法主动开展中药注射剂上市后研究和评价工作，进一步确证已上市中药注射剂的安全性和有效性。二是明确了持有人应当优先对《国家基本药物目录》《国家基本医疗保险、工伤保险和生育保险药品目录》内</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中药注射剂品种开展上市后研究和评价工作。</w:t>
      </w:r>
    </w:p>
    <w:p w14:paraId="4D3427D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预期临床</w:t>
      </w:r>
      <w:r>
        <w:rPr>
          <w:rFonts w:hint="default" w:ascii="Times New Roman" w:hAnsi="Times New Roman" w:eastAsia="仿宋_GB2312" w:cs="Times New Roman"/>
          <w:sz w:val="32"/>
          <w:szCs w:val="32"/>
          <w:lang w:val="en-US" w:eastAsia="zh-CN"/>
        </w:rPr>
        <w:t>安全性和有效性</w:t>
      </w:r>
      <w:r>
        <w:rPr>
          <w:rFonts w:hint="default" w:ascii="Times New Roman" w:hAnsi="Times New Roman" w:eastAsia="仿宋_GB2312" w:cs="Times New Roman"/>
          <w:sz w:val="32"/>
          <w:szCs w:val="32"/>
        </w:rPr>
        <w:t>评估。持有人在开展中药注射剂上市后研究和评价前，应当先充分评估其持有品种是否达到预期临床</w:t>
      </w:r>
      <w:r>
        <w:rPr>
          <w:rFonts w:hint="default" w:ascii="Times New Roman" w:hAnsi="Times New Roman" w:eastAsia="仿宋_GB2312" w:cs="Times New Roman"/>
          <w:sz w:val="32"/>
          <w:szCs w:val="32"/>
          <w:lang w:val="en-US" w:eastAsia="zh-CN"/>
        </w:rPr>
        <w:t>安全性和有效性</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未达到预期</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，持有人可主动向国家药监局提出注销药品批准文号的申请；</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达到预期</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，可在已有临床实践证据或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研究数据的基础上</w:t>
      </w:r>
      <w:r>
        <w:rPr>
          <w:rFonts w:hint="default" w:ascii="Times New Roman" w:hAnsi="Times New Roman" w:eastAsia="仿宋_GB2312" w:cs="Times New Roman"/>
          <w:sz w:val="32"/>
          <w:szCs w:val="32"/>
          <w:lang w:eastAsia="zh-CN"/>
        </w:rPr>
        <w:t>，按照相关技术要求</w:t>
      </w:r>
      <w:r>
        <w:rPr>
          <w:rFonts w:hint="default" w:ascii="Times New Roman" w:hAnsi="Times New Roman" w:eastAsia="仿宋_GB2312" w:cs="Times New Roman"/>
          <w:sz w:val="32"/>
          <w:szCs w:val="32"/>
        </w:rPr>
        <w:t>开展上市后研究和评价。</w:t>
      </w:r>
    </w:p>
    <w:p w14:paraId="5BF8E6E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研究评价要求。</w:t>
      </w:r>
      <w:r>
        <w:rPr>
          <w:rFonts w:ascii="Times New Roman" w:hAnsi="Times New Roman" w:eastAsia="仿宋_GB2312" w:cs="Times New Roman"/>
          <w:sz w:val="32"/>
          <w:szCs w:val="32"/>
        </w:rPr>
        <w:t>《公告》</w:t>
      </w:r>
      <w:r>
        <w:rPr>
          <w:rFonts w:hint="default" w:ascii="Times New Roman" w:hAnsi="Times New Roman" w:eastAsia="仿宋_GB2312" w:cs="Times New Roman"/>
          <w:sz w:val="32"/>
          <w:szCs w:val="32"/>
        </w:rPr>
        <w:t>明确了持有人应当基于固定的生产工艺制定该品种的上市后研究和评价方案。临床研究原则上应当围绕已有的功能主治或者适应症范围开展。必要时，持有人可在已有的功能主治或者适应症范围内开展临床试验。</w:t>
      </w:r>
    </w:p>
    <w:p w14:paraId="3052672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工作程序。</w:t>
      </w:r>
      <w:r>
        <w:rPr>
          <w:rFonts w:hint="default" w:ascii="Times New Roman" w:hAnsi="Times New Roman" w:eastAsia="仿宋_GB2312" w:cs="Times New Roman"/>
          <w:sz w:val="32"/>
          <w:szCs w:val="32"/>
          <w:lang w:val="en-US" w:eastAsia="zh-CN"/>
        </w:rPr>
        <w:t>一是明确了</w:t>
      </w:r>
      <w:r>
        <w:rPr>
          <w:rFonts w:hint="default" w:ascii="Times New Roman" w:hAnsi="Times New Roman" w:eastAsia="仿宋_GB2312" w:cs="Times New Roman"/>
          <w:sz w:val="32"/>
          <w:szCs w:val="32"/>
        </w:rPr>
        <w:t>持有人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申报类别、申报栏目及与</w:t>
      </w:r>
      <w:r>
        <w:rPr>
          <w:rFonts w:hint="default" w:ascii="Times New Roman" w:hAnsi="Times New Roman" w:eastAsia="仿宋_GB2312" w:cs="Times New Roman"/>
          <w:sz w:val="32"/>
          <w:szCs w:val="32"/>
        </w:rPr>
        <w:t>国家药监局药品审评中心</w:t>
      </w:r>
      <w:r>
        <w:rPr>
          <w:rFonts w:hint="default" w:ascii="Times New Roman" w:hAnsi="Times New Roman" w:eastAsia="仿宋_GB2312" w:cs="Times New Roman"/>
          <w:sz w:val="32"/>
          <w:szCs w:val="32"/>
          <w:lang w:val="en-US" w:eastAsia="zh-CN"/>
        </w:rPr>
        <w:t>沟通交流途径；二是明确了相关部门职责和工作程序。</w:t>
      </w:r>
    </w:p>
    <w:p w14:paraId="68A150A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（六）</w:t>
      </w:r>
      <w:r>
        <w:rPr>
          <w:rFonts w:ascii="Times New Roman" w:hAnsi="Times New Roman" w:eastAsia="仿宋_GB2312" w:cs="Times New Roman"/>
          <w:sz w:val="32"/>
        </w:rPr>
        <w:t>评价意见和措施</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明确了</w:t>
      </w:r>
      <w:r>
        <w:rPr>
          <w:rFonts w:ascii="Times New Roman" w:hAnsi="Times New Roman" w:eastAsia="仿宋_GB2312" w:cs="Times New Roman"/>
          <w:sz w:val="32"/>
        </w:rPr>
        <w:t>获益大于风险</w:t>
      </w:r>
      <w:r>
        <w:rPr>
          <w:rFonts w:hint="default" w:ascii="Times New Roman" w:hAnsi="Times New Roman" w:eastAsia="仿宋_GB2312" w:cs="Times New Roman"/>
          <w:sz w:val="32"/>
          <w:lang w:eastAsia="zh-CN"/>
        </w:rPr>
        <w:t>、</w:t>
      </w:r>
      <w:r>
        <w:rPr>
          <w:rFonts w:ascii="Times New Roman" w:hAnsi="Times New Roman" w:eastAsia="仿宋_GB2312" w:cs="Times New Roman"/>
          <w:sz w:val="32"/>
        </w:rPr>
        <w:t>无法判定获益/风险</w:t>
      </w:r>
      <w:r>
        <w:rPr>
          <w:rFonts w:hint="default" w:ascii="Times New Roman" w:hAnsi="Times New Roman" w:eastAsia="仿宋_GB2312" w:cs="Times New Roman"/>
          <w:sz w:val="32"/>
          <w:lang w:val="en-US" w:eastAsia="zh-CN"/>
        </w:rPr>
        <w:t>及</w:t>
      </w:r>
      <w:r>
        <w:rPr>
          <w:rFonts w:ascii="Times New Roman" w:hAnsi="Times New Roman" w:eastAsia="仿宋_GB2312" w:cs="Times New Roman"/>
          <w:sz w:val="32"/>
        </w:rPr>
        <w:t>风险大于获益</w:t>
      </w:r>
      <w:r>
        <w:rPr>
          <w:rFonts w:hint="default" w:ascii="Times New Roman" w:hAnsi="Times New Roman" w:eastAsia="仿宋_GB2312" w:cs="Times New Roman"/>
          <w:sz w:val="32"/>
          <w:lang w:val="en-US" w:eastAsia="zh-CN"/>
        </w:rPr>
        <w:t>三种审评结果，并与之对应细化了三种审评结果对应的后续监管措施。</w:t>
      </w:r>
    </w:p>
    <w:p w14:paraId="1CFB9EC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sz w:val="32"/>
          <w:lang w:val="en-US" w:eastAsia="zh-CN"/>
        </w:rPr>
        <w:t>（七）</w:t>
      </w:r>
      <w:r>
        <w:rPr>
          <w:rFonts w:ascii="Times New Roman" w:hAnsi="Times New Roman" w:eastAsia="仿宋_GB2312" w:cs="Times New Roman"/>
          <w:sz w:val="32"/>
        </w:rPr>
        <w:t>鼓励措施</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一是</w:t>
      </w:r>
      <w:r>
        <w:rPr>
          <w:rFonts w:ascii="Times New Roman" w:hAnsi="Times New Roman" w:eastAsia="仿宋_GB2312" w:cs="Times New Roman"/>
          <w:sz w:val="32"/>
        </w:rPr>
        <w:t>对中药注射剂上市后研究和评价</w:t>
      </w:r>
      <w:r>
        <w:rPr>
          <w:rFonts w:hint="default" w:ascii="Times New Roman" w:hAnsi="Times New Roman" w:eastAsia="仿宋_GB2312" w:cs="Times New Roman"/>
          <w:sz w:val="32"/>
          <w:lang w:eastAsia="zh-CN"/>
        </w:rPr>
        <w:t>相关注册申请和沟通交流申请</w:t>
      </w:r>
      <w:r>
        <w:rPr>
          <w:rFonts w:ascii="Times New Roman" w:hAnsi="Times New Roman" w:eastAsia="仿宋_GB2312" w:cs="Times New Roman"/>
          <w:sz w:val="32"/>
        </w:rPr>
        <w:t>设立单独序列，加快</w:t>
      </w:r>
      <w:r>
        <w:rPr>
          <w:rFonts w:hint="default" w:ascii="Times New Roman" w:hAnsi="Times New Roman" w:eastAsia="仿宋_GB2312" w:cs="Times New Roman"/>
          <w:sz w:val="32"/>
          <w:lang w:val="en-US" w:eastAsia="zh-CN"/>
        </w:rPr>
        <w:t>沟通交流和</w:t>
      </w:r>
      <w:r>
        <w:rPr>
          <w:rFonts w:ascii="Times New Roman" w:hAnsi="Times New Roman" w:eastAsia="仿宋_GB2312" w:cs="Times New Roman"/>
          <w:sz w:val="32"/>
        </w:rPr>
        <w:t>审评审批。</w:t>
      </w:r>
      <w:r>
        <w:rPr>
          <w:rFonts w:hint="default" w:ascii="Times New Roman" w:hAnsi="Times New Roman" w:eastAsia="仿宋_GB2312" w:cs="Times New Roman"/>
          <w:sz w:val="32"/>
          <w:lang w:val="en-US" w:eastAsia="zh-CN"/>
        </w:rPr>
        <w:t>二是加快中药注射剂</w:t>
      </w:r>
      <w:r>
        <w:rPr>
          <w:rFonts w:ascii="Times New Roman" w:hAnsi="Times New Roman" w:eastAsia="仿宋_GB2312" w:cs="Times New Roman"/>
          <w:color w:val="000000"/>
          <w:kern w:val="0"/>
          <w:sz w:val="32"/>
          <w:szCs w:val="32"/>
        </w:rPr>
        <w:t>国家药品标准</w:t>
      </w:r>
      <w:r>
        <w:rPr>
          <w:rFonts w:hint="default" w:ascii="Times New Roman" w:hAnsi="Times New Roman" w:eastAsia="仿宋_GB2312" w:cs="Times New Roman"/>
          <w:color w:val="000000"/>
          <w:kern w:val="0"/>
          <w:sz w:val="32"/>
          <w:szCs w:val="32"/>
          <w:lang w:val="en-US" w:eastAsia="zh-CN"/>
        </w:rPr>
        <w:t>的转化和</w:t>
      </w:r>
      <w:r>
        <w:rPr>
          <w:rFonts w:ascii="Times New Roman" w:hAnsi="Times New Roman" w:eastAsia="仿宋_GB2312" w:cs="Times New Roman"/>
          <w:color w:val="000000"/>
          <w:kern w:val="0"/>
          <w:sz w:val="32"/>
          <w:szCs w:val="32"/>
        </w:rPr>
        <w:t>制</w:t>
      </w:r>
      <w:r>
        <w:rPr>
          <w:rFonts w:hint="default" w:ascii="Times New Roman" w:hAnsi="Times New Roman" w:eastAsia="仿宋_GB2312" w:cs="Times New Roman"/>
          <w:color w:val="000000"/>
          <w:kern w:val="0"/>
          <w:sz w:val="32"/>
          <w:szCs w:val="32"/>
          <w:lang w:eastAsia="zh-CN"/>
        </w:rPr>
        <w:t>定</w:t>
      </w:r>
      <w:r>
        <w:rPr>
          <w:rFonts w:ascii="Times New Roman" w:hAnsi="Times New Roman" w:eastAsia="仿宋_GB2312" w:cs="Times New Roman"/>
          <w:color w:val="000000"/>
          <w:kern w:val="0"/>
          <w:sz w:val="32"/>
          <w:szCs w:val="32"/>
        </w:rPr>
        <w:t>修订</w:t>
      </w:r>
      <w:r>
        <w:rPr>
          <w:rFonts w:hint="default" w:ascii="Times New Roman" w:hAnsi="Times New Roman" w:eastAsia="仿宋_GB2312" w:cs="Times New Roman"/>
          <w:color w:val="000000"/>
          <w:kern w:val="0"/>
          <w:sz w:val="32"/>
          <w:szCs w:val="32"/>
          <w:lang w:val="en-US" w:eastAsia="zh-CN"/>
        </w:rPr>
        <w:t>；三是</w:t>
      </w:r>
      <w:r>
        <w:rPr>
          <w:rFonts w:ascii="Times New Roman" w:hAnsi="Times New Roman" w:eastAsia="仿宋_GB2312" w:cs="Times New Roman"/>
          <w:color w:val="000000"/>
          <w:kern w:val="0"/>
          <w:sz w:val="32"/>
          <w:szCs w:val="32"/>
        </w:rPr>
        <w:t>加大科技计划</w:t>
      </w:r>
      <w:r>
        <w:rPr>
          <w:rFonts w:hint="default" w:ascii="Times New Roman" w:hAnsi="Times New Roman" w:eastAsia="仿宋_GB2312" w:cs="Times New Roman"/>
          <w:color w:val="000000"/>
          <w:kern w:val="0"/>
          <w:sz w:val="32"/>
          <w:szCs w:val="32"/>
          <w:lang w:val="en-US" w:eastAsia="zh-CN"/>
        </w:rPr>
        <w:t>和项目</w:t>
      </w:r>
      <w:r>
        <w:rPr>
          <w:rFonts w:ascii="Times New Roman" w:hAnsi="Times New Roman" w:eastAsia="仿宋_GB2312" w:cs="Times New Roman"/>
          <w:color w:val="000000"/>
          <w:kern w:val="0"/>
          <w:sz w:val="32"/>
          <w:szCs w:val="32"/>
        </w:rPr>
        <w:t>对中药注射剂上市后研究和评价工作</w:t>
      </w:r>
      <w:r>
        <w:rPr>
          <w:rFonts w:hint="default" w:ascii="Times New Roman" w:hAnsi="Times New Roman" w:eastAsia="仿宋_GB2312" w:cs="Times New Roman"/>
          <w:color w:val="000000"/>
          <w:kern w:val="0"/>
          <w:sz w:val="32"/>
          <w:szCs w:val="32"/>
          <w:lang w:eastAsia="zh-CN"/>
        </w:rPr>
        <w:t>的</w:t>
      </w:r>
      <w:r>
        <w:rPr>
          <w:rFonts w:ascii="Times New Roman" w:hAnsi="Times New Roman" w:eastAsia="仿宋_GB2312" w:cs="Times New Roman"/>
          <w:color w:val="000000"/>
          <w:kern w:val="0"/>
          <w:sz w:val="32"/>
          <w:szCs w:val="32"/>
        </w:rPr>
        <w:t>支持力度</w:t>
      </w:r>
      <w:r>
        <w:rPr>
          <w:rFonts w:hint="default" w:ascii="Times New Roman" w:hAnsi="Times New Roman" w:eastAsia="仿宋_GB2312" w:cs="Times New Roman"/>
          <w:color w:val="000000"/>
          <w:kern w:val="0"/>
          <w:sz w:val="32"/>
          <w:szCs w:val="32"/>
          <w:lang w:eastAsia="zh-CN"/>
        </w:rPr>
        <w:t>。</w:t>
      </w:r>
    </w:p>
    <w:p w14:paraId="4920681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kern w:val="2"/>
          <w:sz w:val="32"/>
          <w:szCs w:val="32"/>
          <w:lang w:val="en-US" w:eastAsia="zh-CN"/>
        </w:rPr>
        <w:t>（八）</w:t>
      </w:r>
      <w:r>
        <w:rPr>
          <w:rFonts w:hint="default" w:ascii="Times New Roman" w:hAnsi="Times New Roman" w:eastAsia="仿宋_GB2312" w:cs="Times New Roman"/>
          <w:sz w:val="32"/>
          <w:lang w:val="en-US" w:eastAsia="zh-CN"/>
        </w:rPr>
        <w:t>监管措施。一是国家药监局依法责令评价。其中，</w:t>
      </w:r>
      <w:r>
        <w:rPr>
          <w:rFonts w:hint="default" w:ascii="Times New Roman" w:hAnsi="Times New Roman" w:eastAsia="仿宋_GB2312" w:cs="Times New Roman"/>
          <w:color w:val="000000"/>
          <w:kern w:val="0"/>
          <w:sz w:val="32"/>
          <w:szCs w:val="32"/>
          <w:lang w:val="en-US" w:eastAsia="zh-CN"/>
        </w:rPr>
        <w:t>有证据表明</w:t>
      </w:r>
      <w:r>
        <w:rPr>
          <w:rFonts w:ascii="Times New Roman" w:hAnsi="Times New Roman" w:eastAsia="仿宋_GB2312" w:cs="Times New Roman"/>
          <w:sz w:val="32"/>
          <w:szCs w:val="32"/>
        </w:rPr>
        <w:t>安全性或者有效性数据不充分、现有标准难以保证产品质</w:t>
      </w:r>
      <w:r>
        <w:rPr>
          <w:rFonts w:ascii="Times New Roman" w:hAnsi="Times New Roman" w:eastAsia="仿宋_GB2312" w:cs="Times New Roman"/>
          <w:color w:val="000000"/>
          <w:kern w:val="0"/>
          <w:sz w:val="32"/>
          <w:szCs w:val="32"/>
        </w:rPr>
        <w:t>量稳定可控的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lang w:val="en-US" w:eastAsia="zh-CN"/>
        </w:rPr>
        <w:t>国家药监局</w:t>
      </w:r>
      <w:r>
        <w:rPr>
          <w:rFonts w:hint="default" w:ascii="Times New Roman" w:hAnsi="Times New Roman" w:eastAsia="仿宋_GB2312" w:cs="Times New Roman"/>
          <w:color w:val="000000"/>
          <w:kern w:val="0"/>
          <w:sz w:val="32"/>
          <w:szCs w:val="32"/>
          <w:lang w:val="en-US" w:eastAsia="zh-CN"/>
        </w:rPr>
        <w:t>依法暂停生产并责令持有人开展上市后研究和评价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二是</w:t>
      </w:r>
      <w:r>
        <w:rPr>
          <w:rFonts w:ascii="Times New Roman" w:hAnsi="Times New Roman" w:eastAsia="仿宋_GB2312" w:cs="Times New Roman"/>
          <w:sz w:val="32"/>
        </w:rPr>
        <w:t>对未按照国家药监局责令要求或者未按照审评意见开展上市后研究和评价的中药注射剂品种，</w:t>
      </w:r>
      <w:r>
        <w:rPr>
          <w:rFonts w:hint="default" w:ascii="Times New Roman" w:hAnsi="Times New Roman" w:eastAsia="仿宋_GB2312" w:cs="Times New Roman"/>
          <w:sz w:val="32"/>
          <w:lang w:val="en-US" w:eastAsia="zh-CN"/>
        </w:rPr>
        <w:t>药品监督管理部门依法</w:t>
      </w:r>
      <w:r>
        <w:rPr>
          <w:rFonts w:ascii="Times New Roman" w:hAnsi="Times New Roman" w:eastAsia="仿宋_GB2312" w:cs="Times New Roman"/>
          <w:sz w:val="32"/>
        </w:rPr>
        <w:t>采取不予再注册、注销药品</w:t>
      </w:r>
      <w:r>
        <w:rPr>
          <w:rFonts w:hint="default" w:ascii="Times New Roman" w:hAnsi="Times New Roman" w:eastAsia="仿宋_GB2312" w:cs="Times New Roman"/>
          <w:sz w:val="32"/>
          <w:lang w:val="en-US" w:eastAsia="zh-CN"/>
        </w:rPr>
        <w:t>注册证书</w:t>
      </w:r>
      <w:r>
        <w:rPr>
          <w:rFonts w:ascii="Times New Roman" w:hAnsi="Times New Roman" w:eastAsia="仿宋_GB2312" w:cs="Times New Roman"/>
          <w:sz w:val="32"/>
        </w:rPr>
        <w:t>等措施。</w:t>
      </w:r>
      <w:r>
        <w:rPr>
          <w:rFonts w:hint="default" w:ascii="Times New Roman" w:hAnsi="Times New Roman" w:eastAsia="仿宋_GB2312" w:cs="Times New Roman"/>
          <w:sz w:val="32"/>
          <w:lang w:val="en-US" w:eastAsia="zh-CN"/>
        </w:rPr>
        <w:t>三是对</w:t>
      </w:r>
      <w:r>
        <w:rPr>
          <w:rFonts w:hint="eastAsia" w:ascii="Times New Roman" w:hAnsi="Times New Roman" w:eastAsia="仿宋_GB2312" w:cs="Times New Roman"/>
          <w:color w:val="000000"/>
          <w:kern w:val="0"/>
          <w:sz w:val="32"/>
          <w:szCs w:val="32"/>
          <w:lang w:val="en-US" w:eastAsia="zh-CN"/>
        </w:rPr>
        <w:t>长期未生产的中药注射剂品种，应当在持有人完成上市后研</w:t>
      </w:r>
      <w:r>
        <w:rPr>
          <w:rFonts w:ascii="Times New Roman" w:hAnsi="Times New Roman" w:eastAsia="仿宋_GB2312" w:cs="Times New Roman"/>
          <w:kern w:val="2"/>
          <w:sz w:val="32"/>
          <w:szCs w:val="32"/>
        </w:rPr>
        <w:t>究和评价且审评认为获益大于风险</w:t>
      </w:r>
      <w:r>
        <w:rPr>
          <w:rFonts w:hint="eastAsia" w:ascii="Times New Roman" w:hAnsi="Times New Roman" w:eastAsia="仿宋_GB2312" w:cs="Times New Roman"/>
          <w:kern w:val="2"/>
          <w:sz w:val="32"/>
          <w:szCs w:val="32"/>
          <w:lang w:eastAsia="zh-CN"/>
        </w:rPr>
        <w:t>后</w:t>
      </w:r>
      <w:r>
        <w:rPr>
          <w:rFonts w:ascii="Times New Roman" w:hAnsi="Times New Roman" w:eastAsia="仿宋_GB2312" w:cs="Times New Roman"/>
          <w:kern w:val="2"/>
          <w:sz w:val="32"/>
          <w:szCs w:val="32"/>
        </w:rPr>
        <w:t>方可上市</w:t>
      </w:r>
      <w:r>
        <w:rPr>
          <w:rFonts w:hint="eastAsia" w:ascii="Times New Roman" w:hAnsi="Times New Roman" w:eastAsia="仿宋_GB2312" w:cs="Times New Roman"/>
          <w:kern w:val="2"/>
          <w:sz w:val="32"/>
          <w:szCs w:val="32"/>
        </w:rPr>
        <w:t>销售。</w:t>
      </w:r>
      <w:r>
        <w:rPr>
          <w:rFonts w:hint="default" w:ascii="Times New Roman" w:hAnsi="Times New Roman" w:eastAsia="仿宋_GB2312" w:cs="Times New Roman"/>
          <w:kern w:val="2"/>
          <w:sz w:val="32"/>
          <w:szCs w:val="32"/>
          <w:lang w:val="en-US" w:eastAsia="zh-CN"/>
        </w:rPr>
        <w:t>四是</w:t>
      </w:r>
      <w:r>
        <w:rPr>
          <w:rFonts w:hint="eastAsia" w:ascii="Times New Roman" w:hAnsi="Times New Roman" w:eastAsia="仿宋_GB2312" w:cs="Times New Roman"/>
          <w:kern w:val="2"/>
          <w:sz w:val="32"/>
          <w:szCs w:val="32"/>
          <w:lang w:val="en-US" w:eastAsia="zh-CN"/>
        </w:rPr>
        <w:t>对未取得药品再注册批准证明文件的，药品监督管理部门依法注销药品注册证书。</w:t>
      </w:r>
      <w:r>
        <w:rPr>
          <w:rFonts w:hint="default" w:ascii="Times New Roman" w:hAnsi="Times New Roman" w:eastAsia="仿宋_GB2312" w:cs="Times New Roman"/>
          <w:kern w:val="2"/>
          <w:sz w:val="32"/>
          <w:szCs w:val="32"/>
          <w:lang w:val="en-US" w:eastAsia="zh-CN"/>
        </w:rPr>
        <w:t>五是建立和相关部门之间的信息通报机制，同时，要求</w:t>
      </w:r>
      <w:r>
        <w:rPr>
          <w:rFonts w:hint="eastAsia" w:ascii="Times New Roman" w:hAnsi="Times New Roman" w:eastAsia="仿宋_GB2312" w:cs="Times New Roman"/>
          <w:sz w:val="32"/>
          <w:lang w:val="en-US" w:eastAsia="zh-CN"/>
        </w:rPr>
        <w:t>各级卫生行政部门加强对医疗机构中药注射剂用药安全的监管</w:t>
      </w:r>
      <w:r>
        <w:rPr>
          <w:rFonts w:hint="eastAsia" w:ascii="Times New Roman" w:hAnsi="Times New Roman" w:eastAsia="仿宋_GB2312" w:cs="Times New Roman"/>
          <w:sz w:val="32"/>
          <w:lang w:eastAsia="zh-CN"/>
        </w:rPr>
        <w:t>。</w:t>
      </w:r>
    </w:p>
    <w:p w14:paraId="520A9E05">
      <w:pPr>
        <w:keepNext w:val="0"/>
        <w:keepLines w:val="0"/>
        <w:pageBreakBefore w:val="0"/>
        <w:widowControl w:val="0"/>
        <w:kinsoku/>
        <w:wordWrap/>
        <w:topLinePunct w:val="0"/>
        <w:autoSpaceDE/>
        <w:autoSpaceDN/>
        <w:bidi w:val="0"/>
        <w:adjustRightInd w:val="0"/>
        <w:snapToGrid w:val="0"/>
        <w:spacing w:line="560" w:lineRule="exact"/>
        <w:ind w:firstLine="626" w:firstLineChars="200"/>
        <w:textAlignment w:val="auto"/>
        <w:rPr>
          <w:rFonts w:ascii="Times New Roman" w:hAnsi="Times New Roman" w:eastAsia="仿宋_GB2312" w:cs="Times New Roman"/>
          <w:w w:val="98"/>
          <w:sz w:val="32"/>
        </w:rPr>
      </w:pPr>
      <w:r>
        <w:rPr>
          <w:rFonts w:hint="default" w:ascii="Times New Roman" w:hAnsi="Times New Roman" w:eastAsia="仿宋_GB2312" w:cs="Times New Roman"/>
          <w:color w:val="000000"/>
          <w:w w:val="98"/>
          <w:kern w:val="0"/>
          <w:sz w:val="32"/>
          <w:szCs w:val="32"/>
          <w:lang w:val="en-US" w:eastAsia="zh-CN"/>
        </w:rPr>
        <w:t>（九）</w:t>
      </w:r>
      <w:r>
        <w:rPr>
          <w:rFonts w:ascii="Times New Roman" w:hAnsi="Times New Roman" w:eastAsia="仿宋_GB2312" w:cs="Times New Roman"/>
          <w:w w:val="98"/>
          <w:sz w:val="32"/>
        </w:rPr>
        <w:t>保障措施</w:t>
      </w:r>
      <w:r>
        <w:rPr>
          <w:rFonts w:hint="default" w:ascii="Times New Roman" w:hAnsi="Times New Roman" w:eastAsia="仿宋_GB2312" w:cs="Times New Roman"/>
          <w:w w:val="98"/>
          <w:sz w:val="32"/>
          <w:lang w:eastAsia="zh-CN"/>
        </w:rPr>
        <w:t>。</w:t>
      </w:r>
      <w:r>
        <w:rPr>
          <w:rFonts w:hint="default" w:ascii="Times New Roman" w:hAnsi="Times New Roman" w:eastAsia="仿宋_GB2312" w:cs="Times New Roman"/>
          <w:w w:val="98"/>
          <w:sz w:val="32"/>
          <w:lang w:val="en-US" w:eastAsia="zh-CN"/>
        </w:rPr>
        <w:t>明确</w:t>
      </w:r>
      <w:r>
        <w:rPr>
          <w:rFonts w:ascii="Times New Roman" w:hAnsi="Times New Roman" w:eastAsia="仿宋_GB2312" w:cs="Times New Roman"/>
          <w:w w:val="98"/>
          <w:sz w:val="32"/>
        </w:rPr>
        <w:t>药品监督管理</w:t>
      </w:r>
      <w:r>
        <w:rPr>
          <w:rFonts w:hint="default" w:ascii="Times New Roman" w:hAnsi="Times New Roman" w:eastAsia="仿宋_GB2312" w:cs="Times New Roman"/>
          <w:w w:val="98"/>
          <w:sz w:val="32"/>
          <w:lang w:val="en-US" w:eastAsia="zh-CN"/>
        </w:rPr>
        <w:t>的保障措施，</w:t>
      </w:r>
      <w:r>
        <w:rPr>
          <w:rFonts w:ascii="Times New Roman" w:hAnsi="Times New Roman" w:eastAsia="仿宋_GB2312" w:cs="Times New Roman"/>
          <w:w w:val="98"/>
          <w:sz w:val="32"/>
        </w:rPr>
        <w:t>加强中药注射剂</w:t>
      </w:r>
      <w:r>
        <w:rPr>
          <w:rFonts w:hint="default" w:ascii="Times New Roman" w:hAnsi="Times New Roman" w:eastAsia="仿宋_GB2312" w:cs="Times New Roman"/>
          <w:w w:val="98"/>
          <w:sz w:val="32"/>
          <w:lang w:val="en-US" w:eastAsia="zh-CN"/>
        </w:rPr>
        <w:t>上市后研究和评价工作的指导、监督和</w:t>
      </w:r>
      <w:r>
        <w:rPr>
          <w:rFonts w:ascii="Times New Roman" w:hAnsi="Times New Roman" w:eastAsia="仿宋_GB2312" w:cs="Times New Roman"/>
          <w:w w:val="98"/>
          <w:sz w:val="32"/>
        </w:rPr>
        <w:t>相关监管科学研究。</w:t>
      </w:r>
    </w:p>
    <w:p w14:paraId="2B081B8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（十）实施要求。明确自发布之日起实施，同时做好已发布相关文件的衔接。</w:t>
      </w:r>
    </w:p>
    <w:p w14:paraId="0FDDBC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624CC"/>
    <w:rsid w:val="1346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2025-10-09T07:45:00Z</dcterms:created>
  <dc:creator>新祺</dc:creator>
  <cp:lastModifiedBy>新祺</cp:lastModifiedBy>
  <dcterms:modified xsi:type="dcterms:W3CDTF">2025-10-09T07:46:07Z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B83F3E530F5E47BDB02AE43F3F26E9B7_11</vt:lpwstr>
  </property>
  <property fmtid="{D5CDD505-2E9C-101B-9397-08002B2CF9AE}" pid="4" name="KSOTemplateDocerSaveRecord">
    <vt:lpwstr>eyJoZGlkIjoiYmYxNDY5MThhYWI0ZjJiYzliMmIyNmE0YjVlOWYxZDUiLCJ1c2VySWQiOiIyNzgyMDExNzcifQ==</vt:lpwstr>
  </property>
</Properties>
</file>