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0316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7F2B6BB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w w:val="93"/>
          <w:sz w:val="44"/>
          <w:szCs w:val="44"/>
          <w:highlight w:val="none"/>
          <w:lang w:val="en-US" w:eastAsia="zh-CN"/>
        </w:rPr>
      </w:pPr>
    </w:p>
    <w:p w14:paraId="29C818B6">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w w:val="93"/>
          <w:sz w:val="44"/>
          <w:szCs w:val="44"/>
          <w:lang w:val="en-US" w:eastAsia="zh-CN"/>
        </w:rPr>
      </w:pPr>
      <w:r>
        <w:rPr>
          <w:rFonts w:hint="default" w:ascii="Times New Roman" w:hAnsi="Times New Roman" w:eastAsia="方正小标宋简体" w:cs="Times New Roman"/>
          <w:w w:val="93"/>
          <w:sz w:val="44"/>
          <w:szCs w:val="44"/>
          <w:lang w:val="en-US" w:eastAsia="zh-CN"/>
        </w:rPr>
        <w:t>国家药监局 国家卫生健康委 国家中医药局</w:t>
      </w:r>
    </w:p>
    <w:p w14:paraId="0F28EBB9">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w w:val="93"/>
          <w:sz w:val="44"/>
          <w:szCs w:val="44"/>
        </w:rPr>
      </w:pPr>
      <w:r>
        <w:rPr>
          <w:rFonts w:hint="default" w:ascii="Times New Roman" w:hAnsi="Times New Roman" w:eastAsia="方正小标宋简体" w:cs="Times New Roman"/>
          <w:w w:val="93"/>
          <w:sz w:val="44"/>
          <w:szCs w:val="44"/>
        </w:rPr>
        <w:t>关于进一步推进药品上市许可持有人加快开展</w:t>
      </w:r>
    </w:p>
    <w:p w14:paraId="7C24B76D">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w w:val="93"/>
          <w:sz w:val="44"/>
          <w:szCs w:val="44"/>
        </w:rPr>
      </w:pPr>
      <w:r>
        <w:rPr>
          <w:rFonts w:hint="default" w:ascii="Times New Roman" w:hAnsi="Times New Roman" w:eastAsia="方正小标宋简体" w:cs="Times New Roman"/>
          <w:w w:val="93"/>
          <w:sz w:val="44"/>
          <w:szCs w:val="44"/>
        </w:rPr>
        <w:t>中药注射剂上市后研究和评价工作的公告</w:t>
      </w:r>
    </w:p>
    <w:p w14:paraId="37169E91">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征求意见</w:t>
      </w:r>
      <w:r>
        <w:rPr>
          <w:rFonts w:hint="default" w:ascii="Times New Roman" w:hAnsi="Times New Roman" w:eastAsia="楷体_GB2312" w:cs="Times New Roman"/>
          <w:sz w:val="32"/>
          <w:szCs w:val="32"/>
        </w:rPr>
        <w:t>稿）</w:t>
      </w:r>
    </w:p>
    <w:p w14:paraId="6117D95D">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p>
    <w:p w14:paraId="69862493">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为进一步贯彻落实《药品管理法》《国务院办公厅关于全面深化药品医疗器械监管改革促进医药产业高质量发展的意见》（国办发〔2024〕53号）</w:t>
      </w:r>
      <w:r>
        <w:rPr>
          <w:rFonts w:hint="default" w:ascii="Times New Roman" w:hAnsi="Times New Roman" w:eastAsia="仿宋_GB2312" w:cs="Times New Roman"/>
          <w:sz w:val="32"/>
          <w:lang w:eastAsia="zh-CN"/>
        </w:rPr>
        <w:t>、</w:t>
      </w:r>
      <w:r>
        <w:rPr>
          <w:rFonts w:ascii="Times New Roman" w:hAnsi="Times New Roman" w:eastAsia="仿宋_GB2312" w:cs="Times New Roman"/>
          <w:sz w:val="32"/>
        </w:rPr>
        <w:t>《国务院办公厅关于</w:t>
      </w:r>
      <w:r>
        <w:rPr>
          <w:rFonts w:hint="default" w:ascii="Times New Roman" w:hAnsi="Times New Roman" w:eastAsia="仿宋_GB2312" w:cs="Times New Roman"/>
          <w:sz w:val="32"/>
        </w:rPr>
        <w:t>提升</w:t>
      </w:r>
      <w:r>
        <w:rPr>
          <w:rFonts w:ascii="Times New Roman" w:hAnsi="Times New Roman" w:eastAsia="仿宋_GB2312" w:cs="Times New Roman"/>
          <w:sz w:val="32"/>
        </w:rPr>
        <w:t>中药质量促进中医药产业高质量发展的意见》（国办发〔2025〕11号）等有关规定，</w:t>
      </w:r>
      <w:r>
        <w:rPr>
          <w:rFonts w:ascii="Times New Roman" w:hAnsi="Times New Roman" w:eastAsia="仿宋_GB2312" w:cs="Times New Roman"/>
          <w:color w:val="000000"/>
          <w:kern w:val="0"/>
          <w:sz w:val="32"/>
          <w:szCs w:val="32"/>
        </w:rPr>
        <w:t>根据现阶段药品科学发展和监管能力建设等实际，</w:t>
      </w:r>
      <w:r>
        <w:rPr>
          <w:rFonts w:ascii="Times New Roman" w:hAnsi="Times New Roman" w:eastAsia="仿宋_GB2312" w:cs="Times New Roman"/>
          <w:sz w:val="32"/>
        </w:rPr>
        <w:t>现将推进中药注射剂上市许可持有人（以下简称持有人）加快开展中药注射剂上市后研究和评价工作</w:t>
      </w:r>
      <w:r>
        <w:rPr>
          <w:rFonts w:hint="default" w:ascii="Times New Roman" w:hAnsi="Times New Roman" w:eastAsia="仿宋_GB2312" w:cs="Times New Roman"/>
          <w:sz w:val="32"/>
          <w:lang w:eastAsia="zh-CN"/>
        </w:rPr>
        <w:t>的</w:t>
      </w:r>
      <w:r>
        <w:rPr>
          <w:rFonts w:ascii="Times New Roman" w:hAnsi="Times New Roman" w:eastAsia="仿宋_GB2312" w:cs="Times New Roman"/>
          <w:sz w:val="32"/>
        </w:rPr>
        <w:t>有关事项公告如下：</w:t>
      </w:r>
    </w:p>
    <w:p w14:paraId="3186A323">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一、【适用范围】本公告适用于《药品管理法》（2019年修订）实施前已上市</w:t>
      </w:r>
      <w:r>
        <w:rPr>
          <w:rFonts w:ascii="Times New Roman" w:hAnsi="Times New Roman" w:eastAsia="仿宋_GB2312" w:cs="Times New Roman"/>
          <w:sz w:val="32"/>
          <w:highlight w:val="none"/>
        </w:rPr>
        <w:t>的</w:t>
      </w:r>
      <w:r>
        <w:rPr>
          <w:rFonts w:ascii="Times New Roman" w:hAnsi="Times New Roman" w:eastAsia="仿宋_GB2312" w:cs="Times New Roman"/>
          <w:sz w:val="32"/>
        </w:rPr>
        <w:t>中药注射剂。</w:t>
      </w:r>
    </w:p>
    <w:p w14:paraId="561D4664">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二、【主体责任】持有人应当严格履行中药注射剂质量安全的主体责任，</w:t>
      </w:r>
      <w:r>
        <w:rPr>
          <w:rFonts w:ascii="Times New Roman" w:hAnsi="Times New Roman" w:eastAsia="仿宋_GB2312" w:cs="Times New Roman"/>
          <w:color w:val="000000"/>
          <w:kern w:val="0"/>
          <w:sz w:val="32"/>
          <w:szCs w:val="32"/>
        </w:rPr>
        <w:t>加强对已上市产品的持续管理，</w:t>
      </w:r>
      <w:r>
        <w:rPr>
          <w:rFonts w:hint="default" w:ascii="Times New Roman" w:hAnsi="Times New Roman" w:eastAsia="仿宋_GB2312" w:cs="Times New Roman"/>
          <w:color w:val="000000"/>
          <w:kern w:val="0"/>
          <w:sz w:val="32"/>
          <w:szCs w:val="32"/>
        </w:rPr>
        <w:t>依法</w:t>
      </w:r>
      <w:r>
        <w:rPr>
          <w:rFonts w:ascii="Times New Roman" w:hAnsi="Times New Roman" w:eastAsia="仿宋_GB2312" w:cs="Times New Roman"/>
          <w:sz w:val="32"/>
        </w:rPr>
        <w:t>主动开展上市后研究和评价，</w:t>
      </w:r>
      <w:r>
        <w:rPr>
          <w:rFonts w:hint="default" w:ascii="Times New Roman" w:hAnsi="Times New Roman" w:eastAsia="仿宋_GB2312" w:cs="Times New Roman"/>
          <w:sz w:val="32"/>
        </w:rPr>
        <w:t>研究与临床疗效相关的物质基础和作用机制，获得完整和充分的数据，</w:t>
      </w:r>
      <w:r>
        <w:rPr>
          <w:rFonts w:hint="default" w:ascii="Times New Roman" w:hAnsi="Times New Roman" w:eastAsia="仿宋_GB2312" w:cs="Times New Roman"/>
          <w:sz w:val="32"/>
          <w:lang w:val="en-US" w:eastAsia="zh-CN"/>
        </w:rPr>
        <w:t>进一步确证</w:t>
      </w:r>
      <w:r>
        <w:rPr>
          <w:rFonts w:hint="default" w:ascii="Times New Roman" w:hAnsi="Times New Roman" w:eastAsia="仿宋_GB2312" w:cs="Times New Roman"/>
          <w:sz w:val="32"/>
        </w:rPr>
        <w:t>已上市中药注射剂的安全性和有效性，提高质量可控性</w:t>
      </w:r>
      <w:r>
        <w:rPr>
          <w:rFonts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rPr>
        <w:t>并</w:t>
      </w:r>
      <w:r>
        <w:rPr>
          <w:rFonts w:ascii="Times New Roman" w:hAnsi="Times New Roman" w:eastAsia="仿宋_GB2312" w:cs="Times New Roman"/>
          <w:sz w:val="32"/>
        </w:rPr>
        <w:t>围绕临床价值综合评价产品的获益/风险。</w:t>
      </w:r>
      <w:r>
        <w:rPr>
          <w:rFonts w:hint="default" w:ascii="Times New Roman" w:hAnsi="Times New Roman" w:eastAsia="仿宋_GB2312" w:cs="Times New Roman"/>
          <w:sz w:val="32"/>
          <w:szCs w:val="24"/>
        </w:rPr>
        <w:t>持有人应当优先</w:t>
      </w:r>
      <w:r>
        <w:rPr>
          <w:rFonts w:ascii="Times New Roman" w:hAnsi="Times New Roman" w:eastAsia="仿宋_GB2312" w:cs="Times New Roman"/>
          <w:sz w:val="32"/>
        </w:rPr>
        <w:t>对</w:t>
      </w:r>
      <w:r>
        <w:rPr>
          <w:rFonts w:hint="default" w:ascii="Times New Roman" w:hAnsi="Times New Roman" w:eastAsia="仿宋_GB2312" w:cs="Times New Roman"/>
          <w:sz w:val="32"/>
        </w:rPr>
        <w:t>《</w:t>
      </w:r>
      <w:r>
        <w:rPr>
          <w:rFonts w:hint="default" w:ascii="Times New Roman" w:hAnsi="Times New Roman" w:eastAsia="仿宋_GB2312" w:cs="Times New Roman"/>
          <w:color w:val="000000"/>
          <w:sz w:val="32"/>
          <w:szCs w:val="24"/>
          <w:lang w:val="en"/>
        </w:rPr>
        <w:t>国家基本药</w:t>
      </w:r>
      <w:r>
        <w:rPr>
          <w:rFonts w:ascii="Times New Roman" w:hAnsi="Times New Roman" w:eastAsia="仿宋_GB2312" w:cs="Times New Roman"/>
          <w:color w:val="000000"/>
          <w:sz w:val="32"/>
          <w:szCs w:val="32"/>
          <w:lang w:val="en"/>
        </w:rPr>
        <w:t>物目录</w:t>
      </w:r>
      <w:r>
        <w:rPr>
          <w:rFonts w:hint="default" w:ascii="Times New Roman" w:hAnsi="Times New Roman" w:eastAsia="仿宋_GB2312" w:cs="Times New Roman"/>
          <w:sz w:val="32"/>
        </w:rPr>
        <w:t>》</w:t>
      </w:r>
      <w:r>
        <w:rPr>
          <w:rFonts w:hint="default" w:ascii="Times New Roman" w:hAnsi="Times New Roman" w:eastAsia="仿宋_GB2312" w:cs="Times New Roman"/>
          <w:color w:val="000000"/>
          <w:sz w:val="32"/>
          <w:szCs w:val="32"/>
          <w:lang w:bidi="ar"/>
        </w:rPr>
        <w:t>《国家基本医疗保险、工伤保险和生育保险药品目录》</w:t>
      </w:r>
      <w:r>
        <w:rPr>
          <w:rFonts w:ascii="Times New Roman" w:hAnsi="Times New Roman" w:eastAsia="仿宋_GB2312" w:cs="Times New Roman"/>
          <w:color w:val="000000"/>
          <w:sz w:val="32"/>
          <w:szCs w:val="32"/>
          <w:lang w:bidi="ar"/>
        </w:rPr>
        <w:t>内</w:t>
      </w:r>
      <w:r>
        <w:rPr>
          <w:rFonts w:ascii="Times New Roman" w:hAnsi="Times New Roman" w:eastAsia="仿宋_GB2312" w:cs="Times New Roman"/>
          <w:color w:val="000000"/>
          <w:sz w:val="32"/>
          <w:szCs w:val="32"/>
        </w:rPr>
        <w:t>中</w:t>
      </w:r>
      <w:r>
        <w:rPr>
          <w:rFonts w:ascii="Times New Roman" w:hAnsi="Times New Roman" w:eastAsia="仿宋_GB2312" w:cs="Times New Roman"/>
          <w:sz w:val="32"/>
          <w:szCs w:val="32"/>
        </w:rPr>
        <w:t>药注射剂品种开展</w:t>
      </w:r>
      <w:r>
        <w:rPr>
          <w:rFonts w:ascii="Times New Roman" w:hAnsi="Times New Roman" w:eastAsia="仿宋_GB2312" w:cs="Times New Roman"/>
          <w:color w:val="000000"/>
          <w:kern w:val="0"/>
          <w:sz w:val="32"/>
          <w:szCs w:val="32"/>
        </w:rPr>
        <w:t>上市后研究和评价工作。</w:t>
      </w:r>
    </w:p>
    <w:p w14:paraId="400F5CB5">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sz w:val="32"/>
        </w:rPr>
        <w:t>三、【</w:t>
      </w:r>
      <w:r>
        <w:rPr>
          <w:rFonts w:hint="default" w:ascii="Times New Roman" w:hAnsi="Times New Roman" w:eastAsia="仿宋_GB2312" w:cs="Times New Roman"/>
          <w:sz w:val="32"/>
          <w:szCs w:val="32"/>
        </w:rPr>
        <w:t>预期临床</w:t>
      </w:r>
      <w:r>
        <w:rPr>
          <w:rFonts w:hint="default" w:ascii="Times New Roman" w:hAnsi="Times New Roman" w:eastAsia="仿宋_GB2312" w:cs="Times New Roman"/>
          <w:sz w:val="32"/>
          <w:szCs w:val="32"/>
          <w:lang w:val="en-US" w:eastAsia="zh-CN"/>
        </w:rPr>
        <w:t>安全性和有效性</w:t>
      </w:r>
      <w:r>
        <w:rPr>
          <w:rFonts w:hint="default" w:ascii="Times New Roman" w:hAnsi="Times New Roman" w:eastAsia="仿宋_GB2312" w:cs="Times New Roman"/>
          <w:sz w:val="32"/>
          <w:szCs w:val="32"/>
        </w:rPr>
        <w:t>评估</w:t>
      </w:r>
      <w:r>
        <w:rPr>
          <w:rFonts w:ascii="Times New Roman" w:hAnsi="Times New Roman" w:eastAsia="仿宋_GB2312" w:cs="Times New Roman"/>
          <w:sz w:val="32"/>
        </w:rPr>
        <w:t>】持有人应当以临床价值为导向，</w:t>
      </w:r>
      <w:r>
        <w:rPr>
          <w:rFonts w:ascii="Times New Roman" w:hAnsi="Times New Roman" w:eastAsia="仿宋_GB2312" w:cs="Times New Roman"/>
          <w:sz w:val="32"/>
          <w:szCs w:val="32"/>
        </w:rPr>
        <w:t>在开展中药注射剂上市后研究和评价前，</w:t>
      </w:r>
      <w:r>
        <w:rPr>
          <w:rFonts w:ascii="Times New Roman" w:hAnsi="Times New Roman" w:eastAsia="仿宋_GB2312" w:cs="Times New Roman"/>
          <w:color w:val="000000"/>
          <w:kern w:val="0"/>
          <w:sz w:val="32"/>
          <w:szCs w:val="32"/>
        </w:rPr>
        <w:t>充分评估其持有品种</w:t>
      </w:r>
      <w:r>
        <w:rPr>
          <w:rFonts w:hint="default" w:ascii="Times New Roman" w:hAnsi="Times New Roman" w:eastAsia="仿宋_GB2312" w:cs="Times New Roman"/>
          <w:color w:val="000000"/>
          <w:kern w:val="0"/>
          <w:sz w:val="32"/>
          <w:szCs w:val="32"/>
          <w:lang w:val="en-US" w:eastAsia="zh-CN"/>
        </w:rPr>
        <w:t>是否达到</w:t>
      </w:r>
      <w:r>
        <w:rPr>
          <w:rFonts w:ascii="Times New Roman" w:hAnsi="Times New Roman" w:eastAsia="仿宋_GB2312" w:cs="Times New Roman"/>
          <w:color w:val="000000"/>
          <w:kern w:val="0"/>
          <w:sz w:val="32"/>
          <w:szCs w:val="32"/>
          <w:highlight w:val="none"/>
        </w:rPr>
        <w:t>预期</w:t>
      </w:r>
      <w:r>
        <w:rPr>
          <w:rFonts w:hint="default" w:ascii="Times New Roman" w:hAnsi="Times New Roman" w:eastAsia="仿宋_GB2312" w:cs="Times New Roman"/>
          <w:color w:val="000000"/>
          <w:kern w:val="0"/>
          <w:sz w:val="32"/>
          <w:szCs w:val="32"/>
          <w:highlight w:val="none"/>
          <w:lang w:val="en-US" w:eastAsia="zh-CN"/>
        </w:rPr>
        <w:t>的</w:t>
      </w:r>
      <w:r>
        <w:rPr>
          <w:rFonts w:ascii="Times New Roman" w:hAnsi="Times New Roman" w:eastAsia="仿宋_GB2312" w:cs="Times New Roman"/>
          <w:color w:val="000000"/>
          <w:kern w:val="0"/>
          <w:sz w:val="32"/>
          <w:szCs w:val="32"/>
          <w:highlight w:val="none"/>
        </w:rPr>
        <w:t>临床</w:t>
      </w:r>
      <w:r>
        <w:rPr>
          <w:rFonts w:hint="default" w:ascii="Times New Roman" w:hAnsi="Times New Roman" w:eastAsia="仿宋_GB2312" w:cs="Times New Roman"/>
          <w:sz w:val="32"/>
          <w:szCs w:val="32"/>
          <w:lang w:val="en-US" w:eastAsia="zh-CN"/>
        </w:rPr>
        <w:t>安全性和有效性</w:t>
      </w:r>
      <w:r>
        <w:rPr>
          <w:rFonts w:hint="default" w:ascii="Times New Roman" w:hAnsi="Times New Roman" w:eastAsia="仿宋_GB2312" w:cs="Times New Roman"/>
          <w:color w:val="000000"/>
          <w:kern w:val="0"/>
          <w:sz w:val="32"/>
          <w:szCs w:val="32"/>
        </w:rPr>
        <w:t>。对</w:t>
      </w:r>
      <w:r>
        <w:rPr>
          <w:rFonts w:hint="default" w:ascii="Times New Roman" w:hAnsi="Times New Roman" w:eastAsia="仿宋_GB2312" w:cs="Times New Roman"/>
          <w:sz w:val="32"/>
          <w:szCs w:val="32"/>
          <w:lang w:val="en-US" w:eastAsia="zh-CN"/>
        </w:rPr>
        <w:t>未达到</w:t>
      </w:r>
      <w:r>
        <w:rPr>
          <w:rFonts w:ascii="Times New Roman" w:hAnsi="Times New Roman" w:eastAsia="仿宋_GB2312" w:cs="Times New Roman"/>
          <w:sz w:val="32"/>
          <w:szCs w:val="32"/>
        </w:rPr>
        <w:t>预期的，</w:t>
      </w:r>
      <w:r>
        <w:rPr>
          <w:rFonts w:hint="default" w:ascii="Times New Roman" w:hAnsi="Times New Roman" w:eastAsia="仿宋_GB2312" w:cs="Times New Roman"/>
          <w:sz w:val="32"/>
          <w:szCs w:val="32"/>
        </w:rPr>
        <w:t>持有人</w:t>
      </w:r>
      <w:r>
        <w:rPr>
          <w:rFonts w:ascii="Times New Roman" w:hAnsi="Times New Roman" w:eastAsia="仿宋_GB2312" w:cs="Times New Roman"/>
          <w:sz w:val="32"/>
          <w:szCs w:val="32"/>
        </w:rPr>
        <w:t>可主动向国家药监局提出注销药品批准文号的申请；</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val="en-US" w:eastAsia="zh-CN"/>
        </w:rPr>
        <w:t>达到</w:t>
      </w:r>
      <w:r>
        <w:rPr>
          <w:rFonts w:ascii="Times New Roman" w:hAnsi="Times New Roman" w:eastAsia="仿宋_GB2312" w:cs="Times New Roman"/>
          <w:color w:val="000000"/>
          <w:kern w:val="0"/>
          <w:sz w:val="32"/>
          <w:szCs w:val="32"/>
        </w:rPr>
        <w:t>预期</w:t>
      </w:r>
      <w:r>
        <w:rPr>
          <w:rFonts w:ascii="Times New Roman" w:hAnsi="Times New Roman" w:eastAsia="仿宋_GB2312" w:cs="Times New Roman"/>
          <w:sz w:val="32"/>
          <w:szCs w:val="32"/>
        </w:rPr>
        <w:t>的，可</w:t>
      </w:r>
      <w:r>
        <w:rPr>
          <w:rFonts w:ascii="Times New Roman" w:hAnsi="Times New Roman" w:eastAsia="仿宋_GB2312" w:cs="Times New Roman"/>
          <w:color w:val="000000"/>
          <w:kern w:val="0"/>
          <w:sz w:val="32"/>
          <w:szCs w:val="32"/>
        </w:rPr>
        <w:t>在已有临床实践证据或</w:t>
      </w:r>
      <w:r>
        <w:rPr>
          <w:rFonts w:hint="default" w:ascii="Times New Roman" w:hAnsi="Times New Roman" w:eastAsia="仿宋_GB2312" w:cs="Times New Roman"/>
          <w:color w:val="000000"/>
          <w:kern w:val="0"/>
          <w:sz w:val="32"/>
          <w:szCs w:val="32"/>
          <w:lang w:eastAsia="zh-CN"/>
        </w:rPr>
        <w:t>者</w:t>
      </w:r>
      <w:r>
        <w:rPr>
          <w:rFonts w:ascii="Times New Roman" w:hAnsi="Times New Roman" w:eastAsia="仿宋_GB2312" w:cs="Times New Roman"/>
          <w:color w:val="000000"/>
          <w:kern w:val="0"/>
          <w:sz w:val="32"/>
          <w:szCs w:val="32"/>
        </w:rPr>
        <w:t>研究数据的基础上，</w:t>
      </w:r>
      <w:r>
        <w:rPr>
          <w:rFonts w:ascii="Times New Roman" w:hAnsi="Times New Roman" w:eastAsia="仿宋_GB2312" w:cs="Times New Roman"/>
          <w:sz w:val="32"/>
          <w:szCs w:val="32"/>
        </w:rPr>
        <w:t>进一步按照中药注射剂上市后研究和评价技术要求</w:t>
      </w:r>
      <w:r>
        <w:rPr>
          <w:rFonts w:ascii="Times New Roman" w:hAnsi="Times New Roman" w:eastAsia="仿宋_GB2312" w:cs="Times New Roman"/>
          <w:color w:val="000000"/>
          <w:kern w:val="0"/>
          <w:sz w:val="32"/>
          <w:szCs w:val="32"/>
        </w:rPr>
        <w:t>开展上市后研究和评价，相关研究数据应</w:t>
      </w:r>
      <w:r>
        <w:rPr>
          <w:rFonts w:hint="default" w:ascii="Times New Roman" w:hAnsi="Times New Roman" w:eastAsia="仿宋_GB2312" w:cs="Times New Roman"/>
          <w:color w:val="000000"/>
          <w:kern w:val="0"/>
          <w:sz w:val="32"/>
          <w:szCs w:val="32"/>
        </w:rPr>
        <w:t>当</w:t>
      </w:r>
      <w:r>
        <w:rPr>
          <w:rFonts w:ascii="Times New Roman" w:hAnsi="Times New Roman" w:eastAsia="仿宋_GB2312" w:cs="Times New Roman"/>
          <w:color w:val="000000"/>
          <w:kern w:val="0"/>
          <w:sz w:val="32"/>
          <w:szCs w:val="32"/>
        </w:rPr>
        <w:t>真实、</w:t>
      </w:r>
      <w:r>
        <w:rPr>
          <w:rFonts w:hint="default" w:ascii="Times New Roman" w:hAnsi="Times New Roman" w:eastAsia="仿宋_GB2312" w:cs="Times New Roman"/>
          <w:color w:val="000000"/>
          <w:kern w:val="0"/>
          <w:sz w:val="32"/>
          <w:szCs w:val="32"/>
          <w:lang w:val="en-US" w:eastAsia="zh-CN"/>
        </w:rPr>
        <w:t>准确、完整和</w:t>
      </w:r>
      <w:r>
        <w:rPr>
          <w:rFonts w:ascii="Times New Roman" w:hAnsi="Times New Roman" w:eastAsia="仿宋_GB2312" w:cs="Times New Roman"/>
          <w:color w:val="000000"/>
          <w:kern w:val="0"/>
          <w:sz w:val="32"/>
          <w:szCs w:val="32"/>
        </w:rPr>
        <w:t>可追溯。</w:t>
      </w:r>
    </w:p>
    <w:p w14:paraId="21745BCF">
      <w:pPr>
        <w:keepNext w:val="0"/>
        <w:keepLines w:val="0"/>
        <w:pageBreakBefore w:val="0"/>
        <w:widowControl w:val="0"/>
        <w:tabs>
          <w:tab w:val="left" w:pos="5684"/>
        </w:tabs>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四、【研究评价要求】</w:t>
      </w:r>
      <w:r>
        <w:rPr>
          <w:rFonts w:ascii="Times New Roman" w:hAnsi="Times New Roman" w:eastAsia="仿宋_GB2312" w:cs="Times New Roman"/>
          <w:sz w:val="32"/>
          <w:szCs w:val="32"/>
        </w:rPr>
        <w:t>持有人根据已上市中药注射剂的特点，基于药监部门核准或者符合《药品上市后变更管理办法》第二十三条有关规定固定的生产工艺，结合批准上市时的临床试验数据、上市后已开展的研究和积累的有效性和安全性证据以及前期</w:t>
      </w:r>
      <w:r>
        <w:rPr>
          <w:rFonts w:ascii="Times New Roman" w:hAnsi="Times New Roman" w:eastAsia="仿宋_GB2312" w:cs="Times New Roman"/>
          <w:color w:val="000000"/>
          <w:kern w:val="0"/>
          <w:sz w:val="32"/>
          <w:szCs w:val="32"/>
        </w:rPr>
        <w:t>安全性再评价、药品再评价等工作基础</w:t>
      </w:r>
      <w:r>
        <w:rPr>
          <w:rFonts w:ascii="Times New Roman" w:hAnsi="Times New Roman" w:eastAsia="仿宋_GB2312" w:cs="Times New Roman"/>
          <w:sz w:val="32"/>
          <w:szCs w:val="32"/>
        </w:rPr>
        <w:t>，研究制定该品种的上市后研究和评价方案，对中药注射剂的安全性、有效性和质量可控性进行研究，并开展上市后评价。</w:t>
      </w:r>
    </w:p>
    <w:p w14:paraId="70E12E8A">
      <w:pPr>
        <w:keepNext w:val="0"/>
        <w:keepLines w:val="0"/>
        <w:pageBreakBefore w:val="0"/>
        <w:widowControl w:val="0"/>
        <w:tabs>
          <w:tab w:val="left" w:pos="5684"/>
        </w:tabs>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lang w:eastAsia="zh-CN"/>
        </w:rPr>
      </w:pPr>
      <w:r>
        <w:rPr>
          <w:rFonts w:ascii="Times New Roman" w:hAnsi="Times New Roman" w:eastAsia="仿宋_GB2312" w:cs="Times New Roman"/>
          <w:sz w:val="32"/>
          <w:szCs w:val="32"/>
        </w:rPr>
        <w:t>在开展中药注射剂上市后研究和评价过程中，临床研究原则上应当围绕已有的功能主治</w:t>
      </w:r>
      <w:r>
        <w:rPr>
          <w:rFonts w:hint="default" w:ascii="Times New Roman" w:hAnsi="Times New Roman" w:eastAsia="仿宋_GB2312" w:cs="Times New Roman"/>
          <w:b w:val="0"/>
          <w:bCs w:val="0"/>
          <w:sz w:val="32"/>
          <w:szCs w:val="32"/>
          <w:highlight w:val="none"/>
          <w:lang w:val="en-US" w:eastAsia="zh-CN"/>
        </w:rPr>
        <w:t>或者适应症</w:t>
      </w:r>
      <w:r>
        <w:rPr>
          <w:rFonts w:ascii="Times New Roman" w:hAnsi="Times New Roman" w:eastAsia="仿宋_GB2312" w:cs="Times New Roman"/>
          <w:sz w:val="32"/>
          <w:szCs w:val="32"/>
        </w:rPr>
        <w:t>范围开展。</w:t>
      </w:r>
      <w:r>
        <w:rPr>
          <w:rFonts w:hint="default" w:ascii="Times New Roman" w:hAnsi="Times New Roman" w:eastAsia="仿宋_GB2312" w:cs="Times New Roman"/>
          <w:sz w:val="32"/>
          <w:szCs w:val="32"/>
          <w:highlight w:val="none"/>
          <w:lang w:val="en-US" w:eastAsia="zh-CN"/>
        </w:rPr>
        <w:t>必要时，</w:t>
      </w:r>
      <w:r>
        <w:rPr>
          <w:rFonts w:hint="default" w:ascii="Times New Roman" w:hAnsi="Times New Roman" w:eastAsia="仿宋_GB2312" w:cs="Times New Roman"/>
          <w:sz w:val="32"/>
          <w:szCs w:val="32"/>
          <w:lang w:val="en-US" w:eastAsia="zh-CN"/>
        </w:rPr>
        <w:t>持有人可在</w:t>
      </w:r>
      <w:r>
        <w:rPr>
          <w:rFonts w:hint="default" w:ascii="Times New Roman" w:hAnsi="Times New Roman" w:eastAsia="仿宋_GB2312" w:cs="Times New Roman"/>
          <w:sz w:val="32"/>
          <w:szCs w:val="32"/>
          <w:highlight w:val="none"/>
        </w:rPr>
        <w:t>已有的功能主治</w:t>
      </w:r>
      <w:r>
        <w:rPr>
          <w:rFonts w:hint="default" w:ascii="Times New Roman" w:hAnsi="Times New Roman" w:eastAsia="仿宋_GB2312" w:cs="Times New Roman"/>
          <w:sz w:val="32"/>
          <w:szCs w:val="32"/>
          <w:highlight w:val="none"/>
          <w:lang w:eastAsia="zh-CN"/>
        </w:rPr>
        <w:t>或者适应症</w:t>
      </w:r>
      <w:r>
        <w:rPr>
          <w:rFonts w:hint="default" w:ascii="Times New Roman" w:hAnsi="Times New Roman" w:eastAsia="仿宋_GB2312" w:cs="Times New Roman"/>
          <w:sz w:val="32"/>
          <w:szCs w:val="32"/>
          <w:highlight w:val="none"/>
        </w:rPr>
        <w:t>范围</w:t>
      </w:r>
      <w:r>
        <w:rPr>
          <w:rFonts w:hint="default" w:ascii="Times New Roman" w:hAnsi="Times New Roman" w:eastAsia="仿宋_GB2312" w:cs="Times New Roman"/>
          <w:sz w:val="32"/>
          <w:szCs w:val="32"/>
          <w:highlight w:val="none"/>
          <w:lang w:val="en-US" w:eastAsia="zh-CN"/>
        </w:rPr>
        <w:t>内开展</w:t>
      </w:r>
      <w:r>
        <w:rPr>
          <w:rFonts w:hint="default" w:ascii="Times New Roman" w:hAnsi="Times New Roman" w:eastAsia="仿宋_GB2312" w:cs="Times New Roman"/>
          <w:sz w:val="32"/>
          <w:szCs w:val="32"/>
          <w:highlight w:val="none"/>
        </w:rPr>
        <w:t>临床试验</w:t>
      </w:r>
      <w:r>
        <w:rPr>
          <w:rFonts w:hint="default" w:ascii="Times New Roman" w:hAnsi="Times New Roman" w:eastAsia="仿宋_GB2312" w:cs="Times New Roman"/>
          <w:sz w:val="32"/>
          <w:szCs w:val="32"/>
          <w:highlight w:val="none"/>
          <w:lang w:eastAsia="zh-CN"/>
        </w:rPr>
        <w:t>。</w:t>
      </w:r>
    </w:p>
    <w:p w14:paraId="1C61F6C1">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五、【工作程序】持有人完成中药注射剂上市后研究和评价后，</w:t>
      </w:r>
      <w:r>
        <w:rPr>
          <w:rFonts w:ascii="Times New Roman" w:hAnsi="Times New Roman" w:eastAsia="仿宋_GB2312" w:cs="Times New Roman"/>
          <w:sz w:val="32"/>
          <w:szCs w:val="32"/>
        </w:rPr>
        <w:t>通过国家药品监督管理局政务服务门户（https://zwfw.nmpa. gov.cn）药品业务应用系统填写注册申请表，</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国家药品监管部门审批的补充申请其他事项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申报类别，选择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基于中药注射剂上市后研究和评价需要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栏目</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向国家药监局药品审评中心</w:t>
      </w:r>
      <w:r>
        <w:rPr>
          <w:rFonts w:ascii="Times New Roman" w:hAnsi="Times New Roman" w:eastAsia="仿宋_GB2312" w:cs="Times New Roman"/>
          <w:sz w:val="32"/>
        </w:rPr>
        <w:t>提交上市后研究和评价资料。</w:t>
      </w:r>
    </w:p>
    <w:p w14:paraId="3E60A33A">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lang w:val="en-US" w:eastAsia="zh-CN"/>
        </w:rPr>
        <w:t>持有人可就</w:t>
      </w:r>
      <w:r>
        <w:rPr>
          <w:rFonts w:ascii="Times New Roman" w:hAnsi="Times New Roman" w:eastAsia="仿宋_GB2312" w:cs="Times New Roman"/>
          <w:color w:val="000000"/>
          <w:sz w:val="32"/>
          <w:szCs w:val="32"/>
        </w:rPr>
        <w:t>预期临床价值评估、</w:t>
      </w:r>
      <w:r>
        <w:rPr>
          <w:rFonts w:ascii="Times New Roman" w:hAnsi="Times New Roman" w:eastAsia="仿宋_GB2312" w:cs="Times New Roman"/>
          <w:sz w:val="32"/>
          <w:szCs w:val="32"/>
        </w:rPr>
        <w:t>既往临床应用相关的研究数据是否可用于该品种有效性和安全性评价、上市后研究评价方案等事项与</w:t>
      </w:r>
      <w:r>
        <w:rPr>
          <w:rFonts w:ascii="Times New Roman" w:hAnsi="Times New Roman" w:eastAsia="仿宋_GB2312" w:cs="Times New Roman"/>
          <w:sz w:val="32"/>
        </w:rPr>
        <w:t>国家药监局药品审评中心</w:t>
      </w:r>
      <w:r>
        <w:rPr>
          <w:rFonts w:ascii="Times New Roman" w:hAnsi="Times New Roman" w:eastAsia="仿宋_GB2312" w:cs="Times New Roman"/>
          <w:sz w:val="32"/>
          <w:szCs w:val="32"/>
        </w:rPr>
        <w:t>沟通</w:t>
      </w:r>
      <w:r>
        <w:rPr>
          <w:rFonts w:hint="default" w:ascii="Times New Roman" w:hAnsi="Times New Roman" w:eastAsia="仿宋_GB2312" w:cs="Times New Roman"/>
          <w:sz w:val="32"/>
          <w:szCs w:val="32"/>
          <w:lang w:val="en-US" w:eastAsia="zh-CN"/>
        </w:rPr>
        <w:t>交流</w:t>
      </w:r>
      <w:r>
        <w:rPr>
          <w:rFonts w:ascii="Times New Roman" w:hAnsi="Times New Roman" w:eastAsia="仿宋_GB2312" w:cs="Times New Roman"/>
          <w:sz w:val="32"/>
          <w:szCs w:val="32"/>
        </w:rPr>
        <w:t>。</w:t>
      </w:r>
    </w:p>
    <w:p w14:paraId="48A20E0E">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highlight w:val="green"/>
        </w:rPr>
      </w:pPr>
      <w:r>
        <w:rPr>
          <w:rFonts w:ascii="Times New Roman" w:hAnsi="Times New Roman" w:eastAsia="仿宋_GB2312" w:cs="Times New Roman"/>
          <w:sz w:val="32"/>
        </w:rPr>
        <w:t>国家药监局药品审评中心</w:t>
      </w:r>
      <w:r>
        <w:rPr>
          <w:rFonts w:ascii="Times New Roman" w:hAnsi="Times New Roman" w:eastAsia="仿宋_GB2312" w:cs="Times New Roman"/>
          <w:sz w:val="32"/>
          <w:szCs w:val="32"/>
        </w:rPr>
        <w:t>根据</w:t>
      </w:r>
      <w:r>
        <w:rPr>
          <w:rFonts w:ascii="Times New Roman" w:hAnsi="Times New Roman" w:eastAsia="仿宋_GB2312" w:cs="Times New Roman"/>
          <w:sz w:val="32"/>
        </w:rPr>
        <w:t>申报资料、核查结果、检验结果等，</w:t>
      </w:r>
      <w:r>
        <w:rPr>
          <w:rFonts w:hint="default" w:ascii="Times New Roman" w:hAnsi="Times New Roman" w:eastAsia="仿宋_GB2312" w:cs="Times New Roman"/>
          <w:sz w:val="32"/>
          <w:lang w:val="en-US" w:eastAsia="zh-CN"/>
        </w:rPr>
        <w:t>结合</w:t>
      </w:r>
      <w:r>
        <w:rPr>
          <w:rFonts w:ascii="Times New Roman" w:hAnsi="Times New Roman" w:eastAsia="仿宋_GB2312" w:cs="Times New Roman"/>
          <w:sz w:val="32"/>
        </w:rPr>
        <w:t>国家药监局药品评价中心提供</w:t>
      </w:r>
      <w:r>
        <w:rPr>
          <w:rFonts w:ascii="Times New Roman" w:hAnsi="Times New Roman" w:eastAsia="仿宋_GB2312" w:cs="Times New Roman"/>
          <w:sz w:val="32"/>
          <w:szCs w:val="32"/>
        </w:rPr>
        <w:t>的中药注射剂</w:t>
      </w:r>
      <w:r>
        <w:rPr>
          <w:rFonts w:hint="default" w:ascii="Times New Roman" w:hAnsi="Times New Roman" w:eastAsia="仿宋_GB2312" w:cs="Times New Roman"/>
          <w:sz w:val="32"/>
          <w:szCs w:val="32"/>
          <w:lang w:val="en-US" w:eastAsia="zh-CN"/>
        </w:rPr>
        <w:t>品种上市后</w:t>
      </w:r>
      <w:r>
        <w:rPr>
          <w:rFonts w:ascii="Times New Roman" w:hAnsi="Times New Roman" w:eastAsia="仿宋_GB2312" w:cs="Times New Roman"/>
          <w:sz w:val="32"/>
          <w:szCs w:val="32"/>
        </w:rPr>
        <w:t>安全性评价报告，</w:t>
      </w:r>
      <w:r>
        <w:rPr>
          <w:rFonts w:hint="default" w:ascii="Times New Roman" w:hAnsi="Times New Roman" w:eastAsia="仿宋_GB2312" w:cs="Times New Roman"/>
          <w:sz w:val="32"/>
          <w:szCs w:val="32"/>
          <w:lang w:eastAsia="zh-CN"/>
        </w:rPr>
        <w:t>按照</w:t>
      </w:r>
      <w:r>
        <w:rPr>
          <w:rFonts w:hint="default" w:ascii="Times New Roman" w:hAnsi="Times New Roman" w:eastAsia="仿宋_GB2312" w:cs="Times New Roman"/>
          <w:sz w:val="32"/>
        </w:rPr>
        <w:t>相关工作</w:t>
      </w:r>
      <w:r>
        <w:rPr>
          <w:rFonts w:ascii="Times New Roman" w:hAnsi="Times New Roman" w:eastAsia="仿宋_GB2312" w:cs="Times New Roman"/>
          <w:sz w:val="32"/>
        </w:rPr>
        <w:t>程序和现行技术要求开展审评</w:t>
      </w:r>
      <w:r>
        <w:rPr>
          <w:rFonts w:hint="default" w:ascii="Times New Roman" w:hAnsi="Times New Roman" w:eastAsia="仿宋_GB2312" w:cs="Times New Roman"/>
          <w:sz w:val="32"/>
          <w:lang w:eastAsia="zh-CN"/>
        </w:rPr>
        <w:t>，</w:t>
      </w:r>
      <w:r>
        <w:rPr>
          <w:rFonts w:ascii="Times New Roman" w:hAnsi="Times New Roman" w:eastAsia="仿宋_GB2312" w:cs="Times New Roman"/>
          <w:color w:val="000000"/>
          <w:kern w:val="0"/>
          <w:sz w:val="32"/>
          <w:szCs w:val="32"/>
        </w:rPr>
        <w:t>综合评价产品的获益/风险。</w:t>
      </w:r>
      <w:r>
        <w:rPr>
          <w:rFonts w:ascii="Times New Roman" w:hAnsi="Times New Roman" w:eastAsia="仿宋_GB2312" w:cs="Times New Roman"/>
          <w:color w:val="auto"/>
          <w:sz w:val="32"/>
        </w:rPr>
        <w:t>国家药监局</w:t>
      </w:r>
      <w:r>
        <w:rPr>
          <w:rFonts w:hint="eastAsia" w:ascii="Times New Roman" w:hAnsi="Times New Roman" w:eastAsia="仿宋_GB2312" w:cs="Times New Roman"/>
          <w:color w:val="auto"/>
          <w:sz w:val="32"/>
          <w:lang w:eastAsia="zh-CN"/>
        </w:rPr>
        <w:t>食品</w:t>
      </w:r>
      <w:r>
        <w:rPr>
          <w:rFonts w:ascii="Times New Roman" w:hAnsi="Times New Roman" w:eastAsia="仿宋_GB2312" w:cs="Times New Roman"/>
          <w:color w:val="auto"/>
          <w:sz w:val="32"/>
        </w:rPr>
        <w:t>药品</w:t>
      </w:r>
      <w:r>
        <w:rPr>
          <w:rFonts w:hint="eastAsia" w:ascii="Times New Roman" w:hAnsi="Times New Roman" w:eastAsia="仿宋_GB2312" w:cs="Times New Roman"/>
          <w:color w:val="auto"/>
          <w:sz w:val="32"/>
          <w:lang w:eastAsia="zh-CN"/>
        </w:rPr>
        <w:t>审查核验</w:t>
      </w:r>
      <w:r>
        <w:rPr>
          <w:rFonts w:ascii="Times New Roman" w:hAnsi="Times New Roman" w:eastAsia="仿宋_GB2312" w:cs="Times New Roman"/>
          <w:color w:val="auto"/>
          <w:sz w:val="32"/>
        </w:rPr>
        <w:t>中心</w:t>
      </w:r>
      <w:r>
        <w:rPr>
          <w:rFonts w:hint="default" w:ascii="Times New Roman" w:hAnsi="Times New Roman" w:eastAsia="仿宋_GB2312" w:cs="Times New Roman"/>
          <w:color w:val="auto"/>
          <w:sz w:val="32"/>
          <w:lang w:val="en-US" w:eastAsia="zh-CN"/>
        </w:rPr>
        <w:t>负责</w:t>
      </w:r>
      <w:r>
        <w:rPr>
          <w:rFonts w:ascii="Times New Roman" w:hAnsi="Times New Roman" w:eastAsia="仿宋_GB2312" w:cs="Times New Roman"/>
          <w:color w:val="auto"/>
          <w:sz w:val="32"/>
        </w:rPr>
        <w:t>对相关申请开展药品注册研</w:t>
      </w:r>
      <w:r>
        <w:rPr>
          <w:rFonts w:ascii="Times New Roman" w:hAnsi="Times New Roman" w:eastAsia="仿宋_GB2312" w:cs="Times New Roman"/>
          <w:sz w:val="32"/>
        </w:rPr>
        <w:t>制、生产现场核查。省级药品检验机构承担中药注射剂上市后研究评价产品的注册检验工作。</w:t>
      </w:r>
    </w:p>
    <w:p w14:paraId="22D00413">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六、【评价意见和措施】经审评，对获益大于风险的品种，可基于研究结果相应修订药品说明书、药品质量标准等；无法判定其获益/风险的品种，应当明确其在规定时间内继续开展的研究内容</w:t>
      </w:r>
      <w:r>
        <w:rPr>
          <w:rFonts w:hint="default" w:ascii="Times New Roman" w:hAnsi="Times New Roman" w:eastAsia="仿宋_GB2312" w:cs="Times New Roman"/>
          <w:sz w:val="32"/>
        </w:rPr>
        <w:t>；</w:t>
      </w:r>
      <w:r>
        <w:rPr>
          <w:rFonts w:ascii="Times New Roman" w:hAnsi="Times New Roman" w:eastAsia="仿宋_GB2312" w:cs="Times New Roman"/>
          <w:sz w:val="32"/>
        </w:rPr>
        <w:t>对风险大于获益的品种，药品监督管理部门依法采取暂停生产销售、注销药品批准证明文件等措施。</w:t>
      </w:r>
    </w:p>
    <w:p w14:paraId="7591B4B8">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七、【鼓励措施】对中药注射剂上市后研究和评价相关注册申请</w:t>
      </w:r>
      <w:r>
        <w:rPr>
          <w:rFonts w:hint="default" w:ascii="Times New Roman" w:hAnsi="Times New Roman" w:eastAsia="仿宋_GB2312" w:cs="Times New Roman"/>
          <w:sz w:val="32"/>
          <w:lang w:val="en-US" w:eastAsia="zh-CN"/>
        </w:rPr>
        <w:t>和沟通交流申请</w:t>
      </w:r>
      <w:r>
        <w:rPr>
          <w:rFonts w:ascii="Times New Roman" w:hAnsi="Times New Roman" w:eastAsia="仿宋_GB2312" w:cs="Times New Roman"/>
          <w:sz w:val="32"/>
        </w:rPr>
        <w:t>，设立单独序列，加快</w:t>
      </w:r>
      <w:r>
        <w:rPr>
          <w:rFonts w:hint="default" w:ascii="Times New Roman" w:hAnsi="Times New Roman" w:eastAsia="仿宋_GB2312" w:cs="Times New Roman"/>
          <w:sz w:val="32"/>
          <w:lang w:val="en-US" w:eastAsia="zh-CN"/>
        </w:rPr>
        <w:t>沟通交流和</w:t>
      </w:r>
      <w:r>
        <w:rPr>
          <w:rFonts w:ascii="Times New Roman" w:hAnsi="Times New Roman" w:eastAsia="仿宋_GB2312" w:cs="Times New Roman"/>
          <w:sz w:val="32"/>
        </w:rPr>
        <w:t>审评审批。经审评获益大于风险的品种，优先将核准的药品注册标准转化为该品种的国家药品标准；</w:t>
      </w:r>
      <w:r>
        <w:rPr>
          <w:rFonts w:ascii="Times New Roman" w:hAnsi="Times New Roman" w:eastAsia="仿宋_GB2312" w:cs="Times New Roman"/>
          <w:color w:val="000000"/>
          <w:kern w:val="0"/>
          <w:sz w:val="32"/>
          <w:szCs w:val="32"/>
        </w:rPr>
        <w:t>涉及中药注射剂国家药品标准制定或者修订提高的，按照标准制定修订程序加快审核</w:t>
      </w:r>
      <w:r>
        <w:rPr>
          <w:rFonts w:ascii="Times New Roman" w:hAnsi="Times New Roman" w:eastAsia="仿宋_GB2312" w:cs="Times New Roman"/>
          <w:sz w:val="32"/>
        </w:rPr>
        <w:t>。</w:t>
      </w:r>
    </w:p>
    <w:p w14:paraId="52435E04">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lang w:eastAsia="zh-CN"/>
        </w:rPr>
      </w:pPr>
      <w:r>
        <w:rPr>
          <w:rFonts w:ascii="Times New Roman" w:hAnsi="Times New Roman" w:eastAsia="仿宋_GB2312" w:cs="Times New Roman"/>
          <w:color w:val="000000"/>
          <w:kern w:val="0"/>
          <w:sz w:val="32"/>
          <w:szCs w:val="32"/>
        </w:rPr>
        <w:t>加大国家科技计划</w:t>
      </w:r>
      <w:r>
        <w:rPr>
          <w:rFonts w:hint="default"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中医药科技项目</w:t>
      </w:r>
      <w:r>
        <w:rPr>
          <w:rFonts w:hint="eastAsia" w:ascii="Times New Roman" w:hAnsi="Times New Roman" w:eastAsia="仿宋_GB2312" w:cs="Times New Roman"/>
          <w:b w:val="0"/>
          <w:bCs w:val="0"/>
          <w:color w:val="000000"/>
          <w:kern w:val="0"/>
          <w:sz w:val="32"/>
          <w:szCs w:val="32"/>
        </w:rPr>
        <w:t>及地方科研专项</w:t>
      </w:r>
      <w:r>
        <w:rPr>
          <w:rFonts w:ascii="Times New Roman" w:hAnsi="Times New Roman" w:eastAsia="仿宋_GB2312" w:cs="Times New Roman"/>
          <w:color w:val="000000"/>
          <w:kern w:val="0"/>
          <w:sz w:val="32"/>
          <w:szCs w:val="32"/>
        </w:rPr>
        <w:t>对中药注射剂上市后研究和评价工作支持力度，设立课题开展相关研究</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优先支持《国家基本药物目录》</w:t>
      </w:r>
      <w:r>
        <w:rPr>
          <w:rFonts w:hint="default" w:ascii="Times New Roman" w:hAnsi="Times New Roman" w:eastAsia="仿宋_GB2312" w:cs="Times New Roman"/>
          <w:color w:val="000000"/>
          <w:sz w:val="32"/>
          <w:szCs w:val="32"/>
          <w:lang w:bidi="ar"/>
        </w:rPr>
        <w:t>《国家基本医疗保险、工伤保险和生育保险药品目录》</w:t>
      </w:r>
      <w:r>
        <w:rPr>
          <w:rFonts w:hint="default" w:ascii="Times New Roman" w:hAnsi="Times New Roman" w:eastAsia="仿宋_GB2312" w:cs="Times New Roman"/>
          <w:color w:val="000000"/>
          <w:kern w:val="0"/>
          <w:sz w:val="32"/>
          <w:szCs w:val="32"/>
        </w:rPr>
        <w:t>内品种</w:t>
      </w:r>
      <w:r>
        <w:rPr>
          <w:rFonts w:hint="default" w:ascii="Times New Roman" w:hAnsi="Times New Roman" w:eastAsia="仿宋_GB2312" w:cs="Times New Roman"/>
          <w:color w:val="000000"/>
          <w:kern w:val="0"/>
          <w:sz w:val="32"/>
          <w:szCs w:val="32"/>
          <w:lang w:val="en-US" w:eastAsia="zh-CN"/>
        </w:rPr>
        <w:t>开展上市后研究和评价工作</w:t>
      </w:r>
      <w:r>
        <w:rPr>
          <w:rFonts w:hint="default" w:ascii="Times New Roman" w:hAnsi="Times New Roman" w:eastAsia="仿宋_GB2312" w:cs="Times New Roman"/>
          <w:color w:val="000000"/>
          <w:kern w:val="0"/>
          <w:sz w:val="32"/>
          <w:szCs w:val="32"/>
          <w:lang w:eastAsia="zh-CN"/>
        </w:rPr>
        <w:t>。</w:t>
      </w:r>
    </w:p>
    <w:p w14:paraId="3FA9BD1A">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sz w:val="32"/>
          <w:lang w:val="en-US" w:eastAsia="zh-CN"/>
        </w:rPr>
        <w:t>八、</w:t>
      </w:r>
      <w:r>
        <w:rPr>
          <w:rFonts w:ascii="Times New Roman" w:hAnsi="Times New Roman" w:eastAsia="仿宋_GB2312" w:cs="Times New Roman"/>
          <w:sz w:val="32"/>
        </w:rPr>
        <w:t>【监管措施】对未按照</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药品管理法</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第八十三条</w:t>
      </w:r>
      <w:r>
        <w:rPr>
          <w:rFonts w:ascii="Times New Roman" w:hAnsi="Times New Roman" w:eastAsia="仿宋_GB2312" w:cs="Times New Roman"/>
          <w:sz w:val="32"/>
        </w:rPr>
        <w:t>要求开展上市后评价</w:t>
      </w:r>
      <w:r>
        <w:rPr>
          <w:rFonts w:hint="default" w:ascii="Times New Roman" w:hAnsi="Times New Roman" w:eastAsia="仿宋_GB2312" w:cs="Times New Roman"/>
          <w:sz w:val="32"/>
          <w:lang w:val="en-US" w:eastAsia="zh-CN"/>
        </w:rPr>
        <w:t>的品种</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国家药监局</w:t>
      </w:r>
      <w:r>
        <w:rPr>
          <w:rFonts w:ascii="Times New Roman" w:hAnsi="Times New Roman" w:eastAsia="仿宋_GB2312" w:cs="Times New Roman"/>
          <w:color w:val="000000"/>
          <w:kern w:val="0"/>
          <w:sz w:val="32"/>
          <w:szCs w:val="32"/>
        </w:rPr>
        <w:t>依法责令持有人开展上市后评价</w:t>
      </w:r>
      <w:r>
        <w:rPr>
          <w:rFonts w:hint="default" w:ascii="Times New Roman" w:hAnsi="Times New Roman" w:eastAsia="仿宋_GB2312" w:cs="Times New Roman"/>
          <w:i w:val="0"/>
          <w:iCs w:val="0"/>
          <w:caps w:val="0"/>
          <w:color w:val="000000"/>
          <w:spacing w:val="0"/>
          <w:kern w:val="0"/>
          <w:sz w:val="32"/>
          <w:szCs w:val="32"/>
          <w:shd w:val="clear" w:color="auto" w:fill="auto"/>
          <w:lang w:eastAsia="zh-CN"/>
        </w:rPr>
        <w:t>。</w:t>
      </w:r>
      <w:r>
        <w:rPr>
          <w:rFonts w:ascii="Times New Roman" w:hAnsi="Times New Roman" w:eastAsia="仿宋_GB2312" w:cs="Times New Roman"/>
          <w:color w:val="000000"/>
          <w:kern w:val="0"/>
          <w:sz w:val="32"/>
          <w:szCs w:val="32"/>
        </w:rPr>
        <w:t>对</w:t>
      </w:r>
      <w:r>
        <w:rPr>
          <w:rFonts w:hint="default" w:ascii="Times New Roman" w:hAnsi="Times New Roman" w:eastAsia="仿宋_GB2312" w:cs="Times New Roman"/>
          <w:color w:val="000000"/>
          <w:kern w:val="0"/>
          <w:sz w:val="32"/>
          <w:szCs w:val="32"/>
          <w:lang w:val="en-US" w:eastAsia="zh-CN"/>
        </w:rPr>
        <w:t>有证据表明</w:t>
      </w:r>
      <w:r>
        <w:rPr>
          <w:rFonts w:ascii="Times New Roman" w:hAnsi="Times New Roman" w:eastAsia="仿宋_GB2312" w:cs="Times New Roman"/>
          <w:sz w:val="32"/>
          <w:szCs w:val="32"/>
        </w:rPr>
        <w:t>安全性或者有效性数据不充分、现有标准难以保证产品质</w:t>
      </w:r>
      <w:r>
        <w:rPr>
          <w:rFonts w:ascii="Times New Roman" w:hAnsi="Times New Roman" w:eastAsia="仿宋_GB2312" w:cs="Times New Roman"/>
          <w:color w:val="000000"/>
          <w:kern w:val="0"/>
          <w:sz w:val="32"/>
          <w:szCs w:val="32"/>
        </w:rPr>
        <w:t>量稳定可控的品种，</w:t>
      </w:r>
      <w:r>
        <w:rPr>
          <w:rFonts w:hint="default" w:ascii="Times New Roman" w:hAnsi="Times New Roman" w:eastAsia="仿宋_GB2312" w:cs="Times New Roman"/>
          <w:color w:val="000000"/>
          <w:kern w:val="0"/>
          <w:sz w:val="32"/>
          <w:szCs w:val="32"/>
          <w:lang w:val="en-US" w:eastAsia="zh-CN"/>
        </w:rPr>
        <w:t>国家药监局依法暂停生产并责令持有人开展上市后研究和评价。</w:t>
      </w:r>
      <w:r>
        <w:rPr>
          <w:rFonts w:hint="eastAsia" w:ascii="Times New Roman" w:hAnsi="Times New Roman" w:eastAsia="仿宋_GB2312" w:cs="Times New Roman"/>
          <w:i w:val="0"/>
          <w:iCs w:val="0"/>
          <w:caps w:val="0"/>
          <w:color w:val="auto"/>
          <w:spacing w:val="0"/>
          <w:sz w:val="32"/>
          <w:szCs w:val="32"/>
          <w:shd w:val="clear" w:color="auto" w:fill="auto"/>
        </w:rPr>
        <w:t>经评</w:t>
      </w:r>
      <w:r>
        <w:rPr>
          <w:rFonts w:ascii="Times New Roman" w:hAnsi="Times New Roman" w:eastAsia="仿宋_GB2312" w:cs="Times New Roman"/>
          <w:i w:val="0"/>
          <w:iCs w:val="0"/>
          <w:caps w:val="0"/>
          <w:color w:val="auto"/>
          <w:spacing w:val="0"/>
          <w:sz w:val="32"/>
          <w:szCs w:val="32"/>
          <w:shd w:val="clear" w:color="auto" w:fill="auto"/>
        </w:rPr>
        <w:t>价，</w:t>
      </w:r>
      <w:r>
        <w:rPr>
          <w:rFonts w:ascii="Times New Roman" w:hAnsi="Times New Roman" w:eastAsia="仿宋_GB2312" w:cs="Times New Roman"/>
          <w:i w:val="0"/>
          <w:iCs w:val="0"/>
          <w:caps w:val="0"/>
          <w:color w:val="auto"/>
          <w:spacing w:val="0"/>
          <w:kern w:val="2"/>
          <w:sz w:val="32"/>
          <w:szCs w:val="32"/>
          <w:shd w:val="clear" w:color="auto" w:fill="auto"/>
        </w:rPr>
        <w:t>对疗效不确切、不良反应大或者因其他原因危害人体健康的</w:t>
      </w:r>
      <w:r>
        <w:rPr>
          <w:rFonts w:hint="default" w:ascii="Times New Roman" w:hAnsi="Times New Roman" w:eastAsia="仿宋_GB2312" w:cs="Times New Roman"/>
          <w:i w:val="0"/>
          <w:iCs w:val="0"/>
          <w:caps w:val="0"/>
          <w:color w:val="auto"/>
          <w:spacing w:val="0"/>
          <w:kern w:val="2"/>
          <w:sz w:val="32"/>
          <w:szCs w:val="32"/>
          <w:shd w:val="clear" w:color="auto" w:fill="auto"/>
          <w:lang w:val="en-US" w:eastAsia="zh-CN"/>
        </w:rPr>
        <w:t>中药注射</w:t>
      </w:r>
      <w:r>
        <w:rPr>
          <w:rFonts w:hint="default" w:ascii="Times New Roman" w:hAnsi="Times New Roman" w:eastAsia="仿宋_GB2312" w:cs="Times New Roman"/>
          <w:i w:val="0"/>
          <w:iCs w:val="0"/>
          <w:caps w:val="0"/>
          <w:spacing w:val="0"/>
          <w:kern w:val="2"/>
          <w:sz w:val="32"/>
          <w:szCs w:val="32"/>
          <w:shd w:val="clear" w:color="auto" w:fill="auto"/>
          <w:lang w:val="en-US" w:eastAsia="zh-CN"/>
        </w:rPr>
        <w:t>剂</w:t>
      </w:r>
      <w:r>
        <w:rPr>
          <w:rFonts w:ascii="Times New Roman" w:hAnsi="Times New Roman" w:eastAsia="仿宋_GB2312" w:cs="Times New Roman"/>
          <w:i w:val="0"/>
          <w:iCs w:val="0"/>
          <w:caps w:val="0"/>
          <w:spacing w:val="0"/>
          <w:kern w:val="2"/>
          <w:sz w:val="32"/>
          <w:szCs w:val="32"/>
          <w:shd w:val="clear" w:color="auto" w:fill="auto"/>
        </w:rPr>
        <w:t>，</w:t>
      </w:r>
      <w:r>
        <w:rPr>
          <w:rFonts w:hint="default" w:ascii="Times New Roman" w:hAnsi="Times New Roman" w:eastAsia="仿宋_GB2312" w:cs="Times New Roman"/>
          <w:i w:val="0"/>
          <w:iCs w:val="0"/>
          <w:caps w:val="0"/>
          <w:spacing w:val="0"/>
          <w:kern w:val="2"/>
          <w:sz w:val="32"/>
          <w:szCs w:val="32"/>
          <w:shd w:val="clear" w:color="auto" w:fill="auto"/>
          <w:lang w:val="en-US" w:eastAsia="zh-CN"/>
        </w:rPr>
        <w:t>注销药品注册证书。</w:t>
      </w:r>
    </w:p>
    <w:p w14:paraId="1709BBBD">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iCs w:val="0"/>
          <w:caps w:val="0"/>
          <w:spacing w:val="0"/>
          <w:kern w:val="2"/>
          <w:sz w:val="32"/>
          <w:szCs w:val="32"/>
          <w:shd w:val="clear" w:color="auto" w:fill="auto"/>
          <w:lang w:val="en-US" w:eastAsia="zh-CN"/>
        </w:rPr>
      </w:pPr>
      <w:r>
        <w:rPr>
          <w:rFonts w:ascii="Times New Roman" w:hAnsi="Times New Roman" w:eastAsia="仿宋_GB2312" w:cs="Times New Roman"/>
          <w:sz w:val="32"/>
        </w:rPr>
        <w:t>对未按照国家药监局责令要求或者未按照审评意见开展上市后研究和评价的中药注射剂品种，</w:t>
      </w:r>
      <w:r>
        <w:rPr>
          <w:rFonts w:hint="default" w:ascii="Times New Roman" w:hAnsi="Times New Roman" w:eastAsia="仿宋_GB2312" w:cs="Times New Roman"/>
          <w:sz w:val="32"/>
          <w:lang w:val="en-US" w:eastAsia="zh-CN"/>
        </w:rPr>
        <w:t>药品监督管理部门依法</w:t>
      </w:r>
      <w:r>
        <w:rPr>
          <w:rFonts w:ascii="Times New Roman" w:hAnsi="Times New Roman" w:eastAsia="仿宋_GB2312" w:cs="Times New Roman"/>
          <w:sz w:val="32"/>
        </w:rPr>
        <w:t>采取不予再注册、注销药品</w:t>
      </w:r>
      <w:r>
        <w:rPr>
          <w:rFonts w:hint="default" w:ascii="Times New Roman" w:hAnsi="Times New Roman" w:eastAsia="仿宋_GB2312" w:cs="Times New Roman"/>
          <w:sz w:val="32"/>
          <w:lang w:val="en-US" w:eastAsia="zh-CN"/>
        </w:rPr>
        <w:t>注册证书</w:t>
      </w:r>
      <w:r>
        <w:rPr>
          <w:rFonts w:ascii="Times New Roman" w:hAnsi="Times New Roman" w:eastAsia="仿宋_GB2312" w:cs="Times New Roman"/>
          <w:sz w:val="32"/>
        </w:rPr>
        <w:t>等措施。</w:t>
      </w:r>
    </w:p>
    <w:p w14:paraId="001AE978">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shd w:val="clear" w:color="auto" w:fill="auto"/>
          <w:lang w:val="en-US" w:eastAsia="zh-CN"/>
        </w:rPr>
      </w:pPr>
      <w:r>
        <w:rPr>
          <w:rFonts w:hint="eastAsia" w:ascii="Times New Roman" w:hAnsi="Times New Roman" w:eastAsia="仿宋_GB2312" w:cs="Times New Roman"/>
          <w:color w:val="000000"/>
          <w:kern w:val="0"/>
          <w:sz w:val="32"/>
          <w:szCs w:val="32"/>
          <w:lang w:val="en-US" w:eastAsia="zh-CN"/>
        </w:rPr>
        <w:t>对药品再注册为长期未生产的中药注射剂品种，持有人应当完成上市后研</w:t>
      </w:r>
      <w:r>
        <w:rPr>
          <w:rFonts w:ascii="Times New Roman" w:hAnsi="Times New Roman" w:eastAsia="仿宋_GB2312" w:cs="Times New Roman"/>
          <w:kern w:val="2"/>
          <w:sz w:val="32"/>
          <w:szCs w:val="32"/>
        </w:rPr>
        <w:t>究和评价且审评认为获益大于风险，方可上市</w:t>
      </w:r>
      <w:r>
        <w:rPr>
          <w:rFonts w:hint="eastAsia" w:ascii="Times New Roman" w:hAnsi="Times New Roman" w:eastAsia="仿宋_GB2312" w:cs="Times New Roman"/>
          <w:kern w:val="2"/>
          <w:sz w:val="32"/>
          <w:szCs w:val="32"/>
        </w:rPr>
        <w:t>销售。</w:t>
      </w:r>
      <w:r>
        <w:rPr>
          <w:rFonts w:hint="eastAsia" w:ascii="Times New Roman" w:hAnsi="Times New Roman" w:eastAsia="仿宋_GB2312" w:cs="Times New Roman"/>
          <w:kern w:val="2"/>
          <w:sz w:val="32"/>
          <w:szCs w:val="32"/>
          <w:lang w:val="en-US" w:eastAsia="zh-CN"/>
        </w:rPr>
        <w:t>对未取得药品再注册批准证明文件的，药品监督管理部门依法注销药品注册证书。</w:t>
      </w:r>
    </w:p>
    <w:p w14:paraId="35B6BD21">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lang w:eastAsia="zh-CN"/>
        </w:rPr>
      </w:pPr>
      <w:r>
        <w:rPr>
          <w:rFonts w:ascii="Times New Roman" w:hAnsi="Times New Roman" w:eastAsia="仿宋_GB2312" w:cs="Times New Roman"/>
          <w:sz w:val="32"/>
        </w:rPr>
        <w:t>国家药监局将</w:t>
      </w:r>
      <w:r>
        <w:rPr>
          <w:rFonts w:hint="eastAsia" w:ascii="Times New Roman" w:hAnsi="Times New Roman" w:eastAsia="仿宋_GB2312" w:cs="Times New Roman"/>
          <w:sz w:val="32"/>
          <w:lang w:val="en-US" w:eastAsia="zh-CN"/>
        </w:rPr>
        <w:t>经审评认为</w:t>
      </w:r>
      <w:r>
        <w:rPr>
          <w:rFonts w:ascii="Times New Roman" w:hAnsi="Times New Roman" w:eastAsia="仿宋_GB2312" w:cs="Times New Roman"/>
          <w:sz w:val="32"/>
        </w:rPr>
        <w:t>获益大于风险的品种</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责令开展上市研究和评价的品种以及</w:t>
      </w:r>
      <w:r>
        <w:rPr>
          <w:rFonts w:ascii="Times New Roman" w:hAnsi="Times New Roman" w:eastAsia="仿宋_GB2312" w:cs="Times New Roman"/>
          <w:sz w:val="32"/>
        </w:rPr>
        <w:t>注销批准证明文件的品种名单通报国家卫生健康委、国家</w:t>
      </w:r>
      <w:r>
        <w:rPr>
          <w:rFonts w:hint="eastAsia" w:ascii="Times New Roman" w:hAnsi="Times New Roman" w:eastAsia="仿宋_GB2312" w:cs="Times New Roman"/>
          <w:sz w:val="32"/>
        </w:rPr>
        <w:t>医疗保障</w:t>
      </w:r>
      <w:r>
        <w:rPr>
          <w:rFonts w:ascii="Times New Roman" w:hAnsi="Times New Roman" w:eastAsia="仿宋_GB2312" w:cs="Times New Roman"/>
          <w:sz w:val="32"/>
        </w:rPr>
        <w:t>局</w:t>
      </w:r>
      <w:r>
        <w:rPr>
          <w:rFonts w:hint="eastAsia" w:ascii="Times New Roman" w:hAnsi="Times New Roman" w:eastAsia="仿宋_GB2312" w:cs="Times New Roman"/>
          <w:sz w:val="32"/>
        </w:rPr>
        <w:t>、国家中医药管理局</w:t>
      </w:r>
      <w:r>
        <w:rPr>
          <w:rFonts w:ascii="Times New Roman" w:hAnsi="Times New Roman" w:eastAsia="仿宋_GB2312" w:cs="Times New Roman"/>
          <w:sz w:val="32"/>
        </w:rPr>
        <w:t>等部门，相关部门在药品挂网、采购、临床使用等环节协同处置。</w:t>
      </w:r>
      <w:r>
        <w:rPr>
          <w:rFonts w:hint="eastAsia" w:ascii="Times New Roman" w:hAnsi="Times New Roman" w:eastAsia="仿宋_GB2312" w:cs="Times New Roman"/>
          <w:sz w:val="32"/>
          <w:lang w:val="en-US" w:eastAsia="zh-CN"/>
        </w:rPr>
        <w:t>各级卫生行政部门要加强对医疗机构中药注射剂用药安全的监管</w:t>
      </w:r>
      <w:r>
        <w:rPr>
          <w:rFonts w:hint="eastAsia" w:ascii="Times New Roman" w:hAnsi="Times New Roman" w:eastAsia="仿宋_GB2312" w:cs="Times New Roman"/>
          <w:sz w:val="32"/>
          <w:lang w:eastAsia="zh-CN"/>
        </w:rPr>
        <w:t>。</w:t>
      </w:r>
    </w:p>
    <w:p w14:paraId="72E91C63">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九、【保障措施】药品监督管理部门</w:t>
      </w:r>
      <w:r>
        <w:rPr>
          <w:rFonts w:ascii="Times New Roman" w:hAnsi="Times New Roman" w:eastAsia="仿宋_GB2312" w:cs="Times New Roman"/>
          <w:color w:val="000000"/>
          <w:kern w:val="0"/>
          <w:sz w:val="32"/>
          <w:szCs w:val="32"/>
        </w:rPr>
        <w:t>积极引导持有人依法主动开展中药注射剂上市后研究和评价工作</w:t>
      </w:r>
      <w:r>
        <w:rPr>
          <w:rFonts w:ascii="Times New Roman" w:hAnsi="Times New Roman" w:eastAsia="仿宋_GB2312" w:cs="Times New Roman"/>
          <w:sz w:val="32"/>
        </w:rPr>
        <w:t>，持续加强中药注射剂相关监管科学研究，通过新标准、新工具、新方法的转化应用，为中药注射剂上市后研究和评价提供科学支撑</w:t>
      </w:r>
      <w:r>
        <w:rPr>
          <w:rFonts w:ascii="Times New Roman" w:hAnsi="Times New Roman" w:eastAsia="仿宋_GB2312" w:cs="Times New Roman"/>
          <w:color w:val="000000"/>
          <w:kern w:val="0"/>
          <w:sz w:val="32"/>
          <w:szCs w:val="32"/>
        </w:rPr>
        <w:t>。国家药监局组织</w:t>
      </w:r>
      <w:r>
        <w:rPr>
          <w:rFonts w:ascii="Times New Roman" w:hAnsi="Times New Roman" w:eastAsia="仿宋_GB2312" w:cs="Times New Roman"/>
          <w:sz w:val="32"/>
        </w:rPr>
        <w:t>制定完善相关技术</w:t>
      </w:r>
      <w:r>
        <w:rPr>
          <w:rFonts w:hint="default" w:ascii="Times New Roman" w:hAnsi="Times New Roman" w:eastAsia="仿宋_GB2312" w:cs="Times New Roman"/>
          <w:sz w:val="32"/>
        </w:rPr>
        <w:t>要求</w:t>
      </w:r>
      <w:r>
        <w:rPr>
          <w:rFonts w:ascii="Times New Roman" w:hAnsi="Times New Roman" w:eastAsia="仿宋_GB2312" w:cs="Times New Roman"/>
          <w:sz w:val="32"/>
        </w:rPr>
        <w:t>和</w:t>
      </w:r>
      <w:r>
        <w:rPr>
          <w:rFonts w:hint="default" w:ascii="Times New Roman" w:hAnsi="Times New Roman" w:eastAsia="仿宋_GB2312" w:cs="Times New Roman"/>
          <w:sz w:val="32"/>
        </w:rPr>
        <w:t>申报资料</w:t>
      </w:r>
      <w:r>
        <w:rPr>
          <w:rFonts w:ascii="Times New Roman" w:hAnsi="Times New Roman" w:eastAsia="仿宋_GB2312" w:cs="Times New Roman"/>
          <w:sz w:val="32"/>
        </w:rPr>
        <w:t>要求，组织做好中药注射剂上市后研究和评价的实施、统筹指导与监督工作。各省级药品监督管理部门负责本地区中药注射剂上市后研究和评价工作的指导推动、监督服务工作。</w:t>
      </w:r>
    </w:p>
    <w:p w14:paraId="58EBBF01">
      <w:pPr>
        <w:ind w:firstLine="640" w:firstLineChars="200"/>
      </w:pPr>
      <w:bookmarkStart w:id="0" w:name="_GoBack"/>
      <w:bookmarkEnd w:id="0"/>
      <w:r>
        <w:rPr>
          <w:rFonts w:ascii="Times New Roman" w:hAnsi="Times New Roman" w:eastAsia="仿宋_GB2312" w:cs="Times New Roman"/>
          <w:sz w:val="32"/>
        </w:rPr>
        <w:t>十、【实施日期】本公告自发布之日起实施。</w:t>
      </w:r>
      <w:r>
        <w:rPr>
          <w:rFonts w:hint="default" w:ascii="Times New Roman" w:hAnsi="Times New Roman" w:eastAsia="仿宋_GB2312" w:cs="Times New Roman"/>
          <w:sz w:val="32"/>
        </w:rPr>
        <w:t>对国家药品监督管理部门已作出暂停使用或者责令开展研究等处理决定的中药注射剂，按照</w:t>
      </w:r>
      <w:r>
        <w:rPr>
          <w:rFonts w:hint="default" w:ascii="Times New Roman" w:hAnsi="Times New Roman" w:eastAsia="仿宋_GB2312" w:cs="Times New Roman"/>
          <w:sz w:val="32"/>
          <w:lang w:val="en-US" w:eastAsia="zh-CN"/>
        </w:rPr>
        <w:t>已发布的</w:t>
      </w:r>
      <w:r>
        <w:rPr>
          <w:rFonts w:hint="default" w:ascii="Times New Roman" w:hAnsi="Times New Roman" w:eastAsia="仿宋_GB2312" w:cs="Times New Roman"/>
          <w:sz w:val="32"/>
        </w:rPr>
        <w:t>相关文件规定实施。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41A59"/>
    <w:rsid w:val="47974304"/>
    <w:rsid w:val="5A24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2025-10-09T07:43:00Z</dcterms:created>
  <dc:creator>新祺</dc:creator>
  <cp:lastModifiedBy>新祺</cp:lastModifiedBy>
  <dcterms:modified xsi:type="dcterms:W3CDTF">2025-10-09T08:16:27Z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472726BC0B364437AFBD83A49026BE07_11</vt:lpwstr>
  </property>
  <property fmtid="{D5CDD505-2E9C-101B-9397-08002B2CF9AE}" pid="4" name="KSOTemplateDocerSaveRecord">
    <vt:lpwstr>eyJoZGlkIjoiYmYxNDY5MThhYWI0ZjJiYzliMmIyNmE0YjVlOWYxZDUiLCJ1c2VySWQiOiIyNzgyMDExNzcifQ==</vt:lpwstr>
  </property>
</Properties>
</file>