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2137">
      <w:pPr>
        <w:rPr>
          <w:rFonts w:ascii="黑体" w:eastAsia="黑体" w:hAnsi="黑体" w:cs="黑体" w:hint="eastAsia"/>
          <w:sz w:val="32"/>
          <w:szCs w:val="32"/>
          <w:lang w:val="en"/>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6</w:t>
      </w:r>
    </w:p>
    <w:p w:rsidR="00000000" w:rsidRDefault="008B2137">
      <w:pPr>
        <w:spacing w:line="240" w:lineRule="exact"/>
        <w:rPr>
          <w:rFonts w:eastAsia="黑体"/>
          <w:sz w:val="32"/>
          <w:szCs w:val="32"/>
          <w:lang w:val="en"/>
        </w:rPr>
      </w:pPr>
    </w:p>
    <w:p w:rsidR="00000000" w:rsidRDefault="008B2137">
      <w:pPr>
        <w:snapToGrid w:val="0"/>
        <w:spacing w:line="240" w:lineRule="atLeast"/>
        <w:jc w:val="center"/>
        <w:rPr>
          <w:rFonts w:eastAsia="方正小标宋_GBK"/>
          <w:sz w:val="44"/>
          <w:szCs w:val="44"/>
        </w:rPr>
      </w:pPr>
      <w:r>
        <w:rPr>
          <w:rFonts w:eastAsia="方正小标宋_GBK"/>
          <w:sz w:val="44"/>
          <w:szCs w:val="44"/>
        </w:rPr>
        <w:t>广州赫兰迪生物科技有限公司</w:t>
      </w:r>
      <w:r>
        <w:rPr>
          <w:rFonts w:eastAsia="方正小标宋_GBK"/>
          <w:sz w:val="44"/>
          <w:szCs w:val="44"/>
        </w:rPr>
        <w:t>飞行检查结果</w:t>
      </w:r>
    </w:p>
    <w:p w:rsidR="00000000" w:rsidRDefault="008B2137">
      <w:pPr>
        <w:snapToGrid w:val="0"/>
        <w:spacing w:line="240" w:lineRule="exact"/>
        <w:jc w:val="center"/>
        <w:rPr>
          <w:rFonts w:eastAsia="方正小标宋_GBK"/>
          <w:sz w:val="44"/>
          <w:szCs w:val="44"/>
        </w:rPr>
      </w:pPr>
    </w:p>
    <w:tbl>
      <w:tblPr>
        <w:tblW w:w="9399" w:type="dxa"/>
        <w:jc w:val="center"/>
        <w:tblInd w:w="0" w:type="dxa"/>
        <w:tblLayout w:type="fixed"/>
        <w:tblCellMar>
          <w:left w:w="0" w:type="dxa"/>
          <w:right w:w="0" w:type="dxa"/>
        </w:tblCellMar>
        <w:tblLook w:val="0000" w:firstRow="0" w:lastRow="0" w:firstColumn="0" w:lastColumn="0" w:noHBand="0" w:noVBand="0"/>
      </w:tblPr>
      <w:tblGrid>
        <w:gridCol w:w="1685"/>
        <w:gridCol w:w="2027"/>
        <w:gridCol w:w="2400"/>
        <w:gridCol w:w="3287"/>
      </w:tblGrid>
      <w:tr w:rsidR="00000000">
        <w:trPr>
          <w:trHeight w:val="53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企业名称</w:t>
            </w:r>
          </w:p>
        </w:tc>
        <w:tc>
          <w:tcPr>
            <w:tcW w:w="771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rFonts w:eastAsia="仿宋_GB2312"/>
                <w:sz w:val="28"/>
                <w:szCs w:val="28"/>
              </w:rPr>
            </w:pPr>
            <w:r>
              <w:rPr>
                <w:rFonts w:eastAsia="仿宋_GB2312" w:hint="eastAsia"/>
                <w:sz w:val="28"/>
                <w:szCs w:val="28"/>
              </w:rPr>
              <w:t>广州赫兰迪生物科技有限公司</w:t>
            </w:r>
          </w:p>
        </w:tc>
      </w:tr>
      <w:tr w:rsidR="00000000">
        <w:trPr>
          <w:trHeight w:val="396"/>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化妆品生产许可证编号</w:t>
            </w:r>
          </w:p>
        </w:tc>
        <w:tc>
          <w:tcPr>
            <w:tcW w:w="202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hint="eastAsia"/>
                <w:sz w:val="28"/>
                <w:szCs w:val="28"/>
              </w:rPr>
              <w:t>粤</w:t>
            </w:r>
            <w:r>
              <w:rPr>
                <w:rFonts w:eastAsia="仿宋_GB2312"/>
                <w:sz w:val="28"/>
                <w:szCs w:val="28"/>
              </w:rPr>
              <w:t>妆</w:t>
            </w:r>
            <w:r>
              <w:rPr>
                <w:rFonts w:eastAsia="仿宋_GB2312" w:hint="eastAsia"/>
                <w:sz w:val="28"/>
                <w:szCs w:val="28"/>
              </w:rPr>
              <w:t>20200209</w:t>
            </w:r>
          </w:p>
        </w:tc>
        <w:tc>
          <w:tcPr>
            <w:tcW w:w="24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社会信用代码</w:t>
            </w:r>
            <w:r>
              <w:rPr>
                <w:rFonts w:eastAsia="仿宋_GB2312"/>
                <w:sz w:val="28"/>
                <w:szCs w:val="28"/>
              </w:rPr>
              <w:br/>
            </w:r>
            <w:r>
              <w:rPr>
                <w:rFonts w:eastAsia="仿宋_GB2312"/>
                <w:sz w:val="28"/>
                <w:szCs w:val="28"/>
              </w:rPr>
              <w:t>（组织机构代码）</w:t>
            </w:r>
          </w:p>
        </w:tc>
        <w:tc>
          <w:tcPr>
            <w:tcW w:w="32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pacing w:line="300" w:lineRule="exact"/>
              <w:jc w:val="center"/>
              <w:rPr>
                <w:rFonts w:eastAsia="仿宋_GB2312"/>
              </w:rPr>
            </w:pPr>
            <w:r>
              <w:rPr>
                <w:rFonts w:eastAsia="仿宋_GB2312" w:hint="eastAsia"/>
                <w:sz w:val="28"/>
                <w:szCs w:val="28"/>
              </w:rPr>
              <w:t>91440101MA9UM5MQ7F</w:t>
            </w:r>
          </w:p>
        </w:tc>
      </w:tr>
      <w:tr w:rsidR="00000000">
        <w:trPr>
          <w:trHeight w:val="57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企业地址</w:t>
            </w:r>
          </w:p>
        </w:tc>
        <w:tc>
          <w:tcPr>
            <w:tcW w:w="77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rFonts w:eastAsia="仿宋_GB2312" w:hint="eastAsia"/>
                <w:sz w:val="28"/>
                <w:szCs w:val="28"/>
              </w:rPr>
            </w:pPr>
            <w:r>
              <w:rPr>
                <w:rFonts w:eastAsia="仿宋_GB2312" w:hint="eastAsia"/>
                <w:sz w:val="28"/>
                <w:szCs w:val="28"/>
              </w:rPr>
              <w:t>广州市花都区花山镇华辉路</w:t>
            </w:r>
            <w:r>
              <w:rPr>
                <w:rFonts w:eastAsia="仿宋_GB2312" w:hint="eastAsia"/>
                <w:sz w:val="28"/>
                <w:szCs w:val="28"/>
              </w:rPr>
              <w:t>18</w:t>
            </w:r>
            <w:r>
              <w:rPr>
                <w:rFonts w:eastAsia="仿宋_GB2312" w:hint="eastAsia"/>
                <w:sz w:val="28"/>
                <w:szCs w:val="28"/>
              </w:rPr>
              <w:t>号微观化妆品创意产业园</w:t>
            </w:r>
          </w:p>
          <w:p w:rsidR="00000000" w:rsidRDefault="008B2137">
            <w:pPr>
              <w:snapToGrid w:val="0"/>
              <w:spacing w:line="300" w:lineRule="exact"/>
              <w:jc w:val="center"/>
              <w:rPr>
                <w:rFonts w:eastAsia="仿宋_GB2312"/>
              </w:rPr>
            </w:pPr>
            <w:r>
              <w:rPr>
                <w:rFonts w:eastAsia="仿宋_GB2312" w:hint="eastAsia"/>
                <w:sz w:val="28"/>
                <w:szCs w:val="28"/>
              </w:rPr>
              <w:t>A</w:t>
            </w:r>
            <w:r>
              <w:rPr>
                <w:rFonts w:eastAsia="仿宋_GB2312" w:hint="eastAsia"/>
                <w:sz w:val="28"/>
                <w:szCs w:val="28"/>
              </w:rPr>
              <w:t>栋</w:t>
            </w:r>
            <w:r>
              <w:rPr>
                <w:rFonts w:eastAsia="仿宋_GB2312" w:hint="eastAsia"/>
                <w:sz w:val="28"/>
                <w:szCs w:val="28"/>
              </w:rPr>
              <w:t>A01</w:t>
            </w:r>
            <w:r>
              <w:rPr>
                <w:rFonts w:eastAsia="仿宋_GB2312" w:hint="eastAsia"/>
                <w:sz w:val="28"/>
                <w:szCs w:val="28"/>
              </w:rPr>
              <w:t>号四楼、五楼</w:t>
            </w:r>
            <w:r>
              <w:rPr>
                <w:rFonts w:eastAsia="仿宋_GB2312" w:hint="eastAsia"/>
                <w:sz w:val="28"/>
                <w:szCs w:val="28"/>
              </w:rPr>
              <w:t>501</w:t>
            </w:r>
            <w:r>
              <w:rPr>
                <w:rFonts w:eastAsia="仿宋_GB2312" w:hint="eastAsia"/>
                <w:sz w:val="28"/>
                <w:szCs w:val="28"/>
              </w:rPr>
              <w:t>室</w:t>
            </w:r>
          </w:p>
        </w:tc>
      </w:tr>
      <w:tr w:rsidR="00000000">
        <w:trPr>
          <w:trHeight w:val="56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检查单位</w:t>
            </w:r>
          </w:p>
        </w:tc>
        <w:tc>
          <w:tcPr>
            <w:tcW w:w="77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国家</w:t>
            </w:r>
            <w:r>
              <w:rPr>
                <w:rFonts w:eastAsia="仿宋_GB2312" w:hint="eastAsia"/>
                <w:sz w:val="28"/>
                <w:szCs w:val="28"/>
              </w:rPr>
              <w:t>药监</w:t>
            </w:r>
            <w:r>
              <w:rPr>
                <w:rFonts w:eastAsia="仿宋_GB2312"/>
                <w:sz w:val="28"/>
                <w:szCs w:val="28"/>
              </w:rPr>
              <w:t>局食品药品</w:t>
            </w:r>
            <w:r>
              <w:rPr>
                <w:rFonts w:eastAsia="仿宋_GB2312"/>
                <w:sz w:val="28"/>
                <w:szCs w:val="28"/>
              </w:rPr>
              <w:t>审核查验中心</w:t>
            </w:r>
          </w:p>
        </w:tc>
      </w:tr>
      <w:tr w:rsidR="00000000">
        <w:trPr>
          <w:trHeight w:val="59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pPr>
            <w:r>
              <w:rPr>
                <w:rFonts w:eastAsia="仿宋_GB2312"/>
                <w:sz w:val="28"/>
                <w:szCs w:val="28"/>
              </w:rPr>
              <w:t>检查依据</w:t>
            </w:r>
          </w:p>
        </w:tc>
        <w:tc>
          <w:tcPr>
            <w:tcW w:w="77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rFonts w:eastAsia="仿宋_GB2312"/>
                <w:sz w:val="28"/>
                <w:szCs w:val="28"/>
              </w:rPr>
            </w:pPr>
            <w:r>
              <w:rPr>
                <w:rFonts w:eastAsia="仿宋_GB2312"/>
                <w:sz w:val="28"/>
                <w:szCs w:val="28"/>
              </w:rPr>
              <w:t>《化妆品监督管理条例》《</w:t>
            </w:r>
            <w:r>
              <w:rPr>
                <w:rFonts w:eastAsia="仿宋_GB2312"/>
                <w:sz w:val="28"/>
                <w:szCs w:val="28"/>
              </w:rPr>
              <w:t>化妆品生产质量管理规范</w:t>
            </w:r>
            <w:r>
              <w:rPr>
                <w:rFonts w:eastAsia="仿宋_GB2312"/>
                <w:sz w:val="28"/>
                <w:szCs w:val="28"/>
              </w:rPr>
              <w:t>》</w:t>
            </w:r>
          </w:p>
          <w:p w:rsidR="00000000" w:rsidRDefault="008B2137">
            <w:pPr>
              <w:snapToGrid w:val="0"/>
              <w:spacing w:line="300" w:lineRule="exact"/>
              <w:jc w:val="center"/>
              <w:rPr>
                <w:rFonts w:eastAsia="仿宋_GB2312" w:hint="eastAsia"/>
              </w:rPr>
            </w:pPr>
            <w:r>
              <w:rPr>
                <w:rFonts w:eastAsia="仿宋_GB2312" w:hint="eastAsia"/>
                <w:sz w:val="28"/>
                <w:szCs w:val="28"/>
              </w:rPr>
              <w:t>《化妆品生产质量管理规范检查要点及判定原则》等</w:t>
            </w:r>
          </w:p>
        </w:tc>
      </w:tr>
      <w:tr w:rsidR="00000000">
        <w:trPr>
          <w:trHeight w:val="543"/>
          <w:jc w:val="center"/>
        </w:trPr>
        <w:tc>
          <w:tcPr>
            <w:tcW w:w="93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b/>
                <w:bCs/>
              </w:rPr>
            </w:pPr>
            <w:r>
              <w:rPr>
                <w:rFonts w:eastAsia="仿宋_GB2312"/>
                <w:b/>
                <w:bCs/>
                <w:sz w:val="28"/>
                <w:szCs w:val="28"/>
              </w:rPr>
              <w:t>检查发现缺陷和问题</w:t>
            </w:r>
          </w:p>
        </w:tc>
      </w:tr>
      <w:tr w:rsidR="00000000">
        <w:trPr>
          <w:trHeight w:val="1714"/>
          <w:jc w:val="center"/>
        </w:trPr>
        <w:tc>
          <w:tcPr>
            <w:tcW w:w="93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pStyle w:val="a7"/>
              <w:spacing w:line="300" w:lineRule="exact"/>
              <w:ind w:firstLine="488"/>
              <w:jc w:val="both"/>
              <w:rPr>
                <w:rFonts w:ascii="Times New Roman" w:eastAsia="仿宋_GB2312" w:hAnsi="Times New Roman" w:cs="Times New Roman"/>
                <w:sz w:val="28"/>
                <w:szCs w:val="28"/>
                <w:lang w:val="en"/>
              </w:rPr>
            </w:pPr>
            <w:r>
              <w:rPr>
                <w:rFonts w:ascii="Times New Roman" w:eastAsia="仿宋_GB2312" w:hAnsi="Times New Roman" w:cs="Times New Roman"/>
                <w:sz w:val="28"/>
                <w:szCs w:val="28"/>
              </w:rPr>
              <w:t>该企业</w:t>
            </w:r>
            <w:r>
              <w:rPr>
                <w:rFonts w:ascii="Times New Roman" w:eastAsia="仿宋_GB2312" w:hAnsi="Times New Roman" w:cs="Times New Roman" w:hint="eastAsia"/>
                <w:sz w:val="28"/>
                <w:szCs w:val="28"/>
              </w:rPr>
              <w:t>在</w:t>
            </w:r>
            <w:r>
              <w:rPr>
                <w:rFonts w:ascii="Times New Roman" w:eastAsia="仿宋_GB2312" w:hAnsi="Times New Roman" w:cs="Times New Roman" w:hint="eastAsia"/>
                <w:sz w:val="28"/>
                <w:szCs w:val="28"/>
              </w:rPr>
              <w:t>质量保证与控制</w:t>
            </w:r>
            <w:r>
              <w:rPr>
                <w:rFonts w:ascii="Times New Roman" w:eastAsia="仿宋_GB2312" w:hAnsi="Times New Roman" w:cs="Times New Roman" w:hint="eastAsia"/>
                <w:sz w:val="28"/>
                <w:szCs w:val="28"/>
              </w:rPr>
              <w:t>方面存在未按规定执行追溯管理制度、留样管理制度等问题；在厂房设施与设备管理方面存在擅自改变生产车间的功能区域划分等问题；在物料与产品管理方面存在未</w:t>
            </w:r>
            <w:r>
              <w:rPr>
                <w:rFonts w:ascii="Times New Roman" w:eastAsia="仿宋_GB2312" w:hAnsi="Times New Roman" w:cs="Times New Roman" w:hint="eastAsia"/>
                <w:sz w:val="28"/>
                <w:szCs w:val="28"/>
              </w:rPr>
              <w:t>按规定执行物料进货查验制度</w:t>
            </w:r>
            <w:r>
              <w:rPr>
                <w:rFonts w:ascii="Times New Roman" w:eastAsia="仿宋_GB2312" w:hAnsi="Times New Roman" w:cs="Times New Roman" w:hint="eastAsia"/>
                <w:sz w:val="28"/>
                <w:szCs w:val="28"/>
              </w:rPr>
              <w:t>等问题；在生产过程管理方面存在未真实准确填写生产记录、未</w:t>
            </w:r>
            <w:r>
              <w:rPr>
                <w:rFonts w:ascii="Times New Roman" w:eastAsia="仿宋_GB2312" w:hAnsi="Times New Roman" w:cs="Times New Roman" w:hint="eastAsia"/>
                <w:sz w:val="28"/>
                <w:szCs w:val="28"/>
              </w:rPr>
              <w:t>按规定</w:t>
            </w:r>
            <w:r>
              <w:rPr>
                <w:rFonts w:ascii="Times New Roman" w:eastAsia="仿宋_GB2312" w:hAnsi="Times New Roman" w:cs="Times New Roman" w:hint="eastAsia"/>
                <w:sz w:val="28"/>
                <w:szCs w:val="28"/>
              </w:rPr>
              <w:t>执行产品放行管理制度等问题；在产品销售管理方面存在未按规定执行产品销售记录制度等问题。</w:t>
            </w:r>
          </w:p>
        </w:tc>
      </w:tr>
      <w:tr w:rsidR="00000000">
        <w:trPr>
          <w:trHeight w:val="373"/>
          <w:jc w:val="center"/>
        </w:trPr>
        <w:tc>
          <w:tcPr>
            <w:tcW w:w="93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b/>
                <w:bCs/>
              </w:rPr>
            </w:pPr>
            <w:r>
              <w:rPr>
                <w:rFonts w:eastAsia="仿宋_GB2312"/>
                <w:b/>
                <w:bCs/>
                <w:sz w:val="28"/>
                <w:szCs w:val="28"/>
              </w:rPr>
              <w:t>处理措施</w:t>
            </w:r>
          </w:p>
        </w:tc>
      </w:tr>
      <w:tr w:rsidR="00000000">
        <w:trPr>
          <w:trHeight w:val="2685"/>
          <w:jc w:val="center"/>
        </w:trPr>
        <w:tc>
          <w:tcPr>
            <w:tcW w:w="93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pStyle w:val="a7"/>
              <w:spacing w:beforeAutospacing="0" w:afterAutospacing="0" w:line="300" w:lineRule="exact"/>
              <w:jc w:val="both"/>
              <w:rPr>
                <w:rFonts w:ascii="Times New Roman" w:eastAsia="仿宋_GB2312" w:hAnsi="Times New Roman" w:cs="Times New Roman"/>
                <w:sz w:val="29"/>
                <w:szCs w:val="29"/>
                <w:lang w:val="en"/>
              </w:rPr>
            </w:pP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9"/>
                <w:szCs w:val="29"/>
              </w:rPr>
              <w:t>1.</w:t>
            </w:r>
            <w:r>
              <w:rPr>
                <w:rFonts w:ascii="Times New Roman" w:eastAsia="仿宋_GB2312" w:hAnsi="Times New Roman" w:cs="Times New Roman"/>
                <w:sz w:val="28"/>
                <w:szCs w:val="28"/>
                <w:lang w:val="en"/>
              </w:rPr>
              <w:t>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r>
              <w:rPr>
                <w:rFonts w:ascii="Times New Roman" w:eastAsia="仿宋_GB2312" w:hAnsi="Times New Roman" w:cs="Times New Roman" w:hint="eastAsia"/>
                <w:sz w:val="28"/>
                <w:szCs w:val="28"/>
                <w:lang w:val="en"/>
              </w:rPr>
              <w:t>要求</w:t>
            </w:r>
            <w:r>
              <w:rPr>
                <w:rFonts w:ascii="Times New Roman" w:eastAsia="仿宋_GB2312" w:hAnsi="Times New Roman" w:cs="Times New Roman"/>
                <w:sz w:val="28"/>
                <w:szCs w:val="28"/>
                <w:lang w:val="en"/>
              </w:rPr>
              <w:t>广东省药品监督管理局对该企业涉嫌</w:t>
            </w:r>
            <w:r>
              <w:rPr>
                <w:rFonts w:ascii="Times New Roman" w:eastAsia="仿宋_GB2312" w:hAnsi="Times New Roman" w:cs="Times New Roman" w:hint="eastAsia"/>
                <w:sz w:val="28"/>
                <w:szCs w:val="28"/>
                <w:lang w:val="en"/>
              </w:rPr>
              <w:t>违法的行为依法立案调查，并评估相关产品安全风险，按照</w:t>
            </w:r>
            <w:r>
              <w:rPr>
                <w:rFonts w:ascii="Times New Roman" w:eastAsia="仿宋_GB2312" w:hAnsi="Times New Roman" w:cs="Times New Roman"/>
                <w:sz w:val="28"/>
                <w:szCs w:val="28"/>
                <w:lang w:val="en"/>
              </w:rPr>
              <w:t>《化妆品监督管理条例》的规定责令该企业实施召回，必要时依法采取紧急控制措施。有关查处结果及时报告国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p>
          <w:p w:rsidR="00000000" w:rsidRDefault="008B2137">
            <w:pPr>
              <w:pStyle w:val="a7"/>
              <w:spacing w:before="0" w:beforeAutospacing="0" w:after="0" w:afterAutospacing="0" w:line="300" w:lineRule="exact"/>
              <w:ind w:firstLine="560"/>
              <w:jc w:val="both"/>
              <w:rPr>
                <w:rFonts w:ascii="Times New Roman" w:eastAsia="仿宋_GB2312" w:hAnsi="Times New Roman" w:cs="Times New Roman"/>
                <w:sz w:val="28"/>
                <w:szCs w:val="28"/>
              </w:rPr>
            </w:pPr>
            <w:r>
              <w:rPr>
                <w:rFonts w:ascii="Times New Roman" w:eastAsia="仿宋_GB2312" w:hAnsi="Times New Roman" w:cs="Times New Roman"/>
                <w:sz w:val="29"/>
                <w:szCs w:val="29"/>
                <w:lang w:val="en"/>
              </w:rPr>
              <w:t>2.</w:t>
            </w:r>
            <w:r>
              <w:rPr>
                <w:rFonts w:ascii="Times New Roman" w:eastAsia="仿宋_GB2312" w:hAnsi="Times New Roman" w:cs="Times New Roman"/>
                <w:sz w:val="29"/>
                <w:szCs w:val="29"/>
                <w:lang w:val="en"/>
              </w:rPr>
              <w:t>对检</w:t>
            </w:r>
            <w:r>
              <w:rPr>
                <w:rFonts w:ascii="Times New Roman" w:eastAsia="仿宋_GB2312" w:hAnsi="Times New Roman" w:cs="Times New Roman"/>
                <w:sz w:val="28"/>
                <w:szCs w:val="28"/>
              </w:rPr>
              <w:t>查中发现的</w:t>
            </w:r>
            <w:r>
              <w:rPr>
                <w:rFonts w:ascii="Times New Roman" w:eastAsia="仿宋_GB2312" w:hAnsi="Times New Roman" w:cs="Times New Roman" w:hint="eastAsia"/>
                <w:sz w:val="28"/>
                <w:szCs w:val="28"/>
              </w:rPr>
              <w:t>不符合规定项目和问题</w:t>
            </w:r>
            <w:r>
              <w:rPr>
                <w:rFonts w:ascii="Times New Roman" w:eastAsia="仿宋_GB2312" w:hAnsi="Times New Roman" w:cs="Times New Roman"/>
                <w:sz w:val="28"/>
                <w:szCs w:val="28"/>
              </w:rPr>
              <w:t>，广东省药品监督管理局已责令该企业</w:t>
            </w:r>
            <w:r>
              <w:rPr>
                <w:rFonts w:ascii="Times New Roman" w:eastAsia="仿宋_GB2312" w:hAnsi="Times New Roman" w:cs="Times New Roman" w:hint="eastAsia"/>
                <w:sz w:val="28"/>
                <w:szCs w:val="28"/>
              </w:rPr>
              <w:t>暂停生产、经营，并进行整改</w:t>
            </w:r>
            <w:r>
              <w:rPr>
                <w:rFonts w:ascii="Times New Roman" w:eastAsia="仿宋_GB2312" w:hAnsi="Times New Roman" w:cs="Times New Roman"/>
                <w:sz w:val="28"/>
                <w:szCs w:val="28"/>
              </w:rPr>
              <w:t>。该企业完成全面整改并经广东省药品监督管理局</w:t>
            </w:r>
            <w:r>
              <w:rPr>
                <w:rFonts w:ascii="Times New Roman" w:eastAsia="仿宋_GB2312" w:hAnsi="Times New Roman" w:cs="Times New Roman"/>
                <w:sz w:val="28"/>
                <w:szCs w:val="28"/>
              </w:rPr>
              <w:t>检查确认</w:t>
            </w:r>
            <w:r>
              <w:rPr>
                <w:rFonts w:ascii="Times New Roman" w:eastAsia="仿宋_GB2312" w:hAnsi="Times New Roman" w:cs="Times New Roman"/>
                <w:sz w:val="28"/>
                <w:szCs w:val="28"/>
              </w:rPr>
              <w:t>、发布复产</w:t>
            </w:r>
            <w:r>
              <w:rPr>
                <w:rFonts w:ascii="Times New Roman" w:eastAsia="仿宋_GB2312" w:hAnsi="Times New Roman" w:cs="Times New Roman"/>
                <w:sz w:val="28"/>
                <w:szCs w:val="28"/>
              </w:rPr>
              <w:t>通</w:t>
            </w:r>
            <w:r>
              <w:rPr>
                <w:rFonts w:ascii="Times New Roman" w:eastAsia="仿宋_GB2312" w:hAnsi="Times New Roman" w:cs="Times New Roman"/>
                <w:sz w:val="28"/>
                <w:szCs w:val="28"/>
              </w:rPr>
              <w:t>告前不得恢复生产。有关整改和复产情况及时报告</w:t>
            </w:r>
            <w:r>
              <w:rPr>
                <w:rFonts w:ascii="Times New Roman" w:eastAsia="仿宋_GB2312" w:hAnsi="Times New Roman" w:cs="Times New Roman" w:hint="eastAsia"/>
                <w:sz w:val="28"/>
                <w:szCs w:val="28"/>
              </w:rPr>
              <w:t>国家药监局。</w:t>
            </w:r>
          </w:p>
        </w:tc>
      </w:tr>
      <w:tr w:rsidR="00000000">
        <w:trPr>
          <w:trHeight w:val="572"/>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b/>
                <w:bCs/>
              </w:rPr>
            </w:pPr>
            <w:r>
              <w:rPr>
                <w:rFonts w:eastAsia="仿宋_GB2312"/>
                <w:b/>
                <w:bCs/>
                <w:sz w:val="28"/>
                <w:szCs w:val="28"/>
              </w:rPr>
              <w:t>发布日期</w:t>
            </w:r>
          </w:p>
        </w:tc>
        <w:tc>
          <w:tcPr>
            <w:tcW w:w="7714" w:type="dxa"/>
            <w:gridSpan w:val="3"/>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000000" w:rsidRDefault="008B2137">
            <w:pPr>
              <w:snapToGrid w:val="0"/>
              <w:spacing w:line="300" w:lineRule="exact"/>
              <w:jc w:val="center"/>
              <w:rPr>
                <w:rFonts w:eastAsia="仿宋_GB2312"/>
              </w:rPr>
            </w:pPr>
            <w:r>
              <w:rPr>
                <w:rFonts w:eastAsia="仿宋_GB2312"/>
                <w:sz w:val="28"/>
                <w:szCs w:val="28"/>
              </w:rPr>
              <w:t>202</w:t>
            </w:r>
            <w:r>
              <w:rPr>
                <w:rFonts w:eastAsia="仿宋_GB2312" w:hint="eastAsia"/>
                <w:sz w:val="28"/>
                <w:szCs w:val="28"/>
              </w:rPr>
              <w:t>3</w:t>
            </w:r>
            <w:r>
              <w:rPr>
                <w:rFonts w:eastAsia="仿宋_GB2312"/>
                <w:sz w:val="28"/>
                <w:szCs w:val="28"/>
              </w:rPr>
              <w:t>年</w:t>
            </w:r>
            <w:r>
              <w:rPr>
                <w:rFonts w:eastAsia="仿宋_GB2312"/>
                <w:sz w:val="28"/>
                <w:szCs w:val="28"/>
              </w:rPr>
              <w:t>9</w:t>
            </w:r>
            <w:r>
              <w:rPr>
                <w:rFonts w:eastAsia="仿宋_GB2312"/>
                <w:sz w:val="28"/>
                <w:szCs w:val="28"/>
              </w:rPr>
              <w:t>月</w:t>
            </w:r>
            <w:r>
              <w:rPr>
                <w:rFonts w:eastAsia="仿宋_GB2312"/>
                <w:sz w:val="28"/>
                <w:szCs w:val="28"/>
              </w:rPr>
              <w:t>7</w:t>
            </w:r>
            <w:r>
              <w:rPr>
                <w:rFonts w:eastAsia="仿宋_GB2312"/>
                <w:sz w:val="28"/>
                <w:szCs w:val="28"/>
              </w:rPr>
              <w:t>日</w:t>
            </w:r>
          </w:p>
        </w:tc>
      </w:tr>
    </w:tbl>
    <w:p w:rsidR="00000000" w:rsidRDefault="008B2137">
      <w:pPr>
        <w:rPr>
          <w:rFonts w:eastAsia="仿宋_GB2312"/>
          <w:sz w:val="18"/>
          <w:szCs w:val="18"/>
        </w:rPr>
      </w:pPr>
    </w:p>
    <w:p w:rsidR="00000000" w:rsidRDefault="008B2137">
      <w:pPr>
        <w:rPr>
          <w:rFonts w:eastAsia="仿宋_GB2312"/>
          <w:sz w:val="18"/>
          <w:szCs w:val="18"/>
        </w:rPr>
      </w:pPr>
    </w:p>
    <w:p w:rsidR="008B2137" w:rsidRDefault="008B2137">
      <w:pPr>
        <w:spacing w:line="500" w:lineRule="exact"/>
        <w:ind w:firstLineChars="100" w:firstLine="280"/>
        <w:rPr>
          <w:rFonts w:eastAsia="方正仿宋简体"/>
          <w:sz w:val="28"/>
          <w:szCs w:val="28"/>
        </w:rPr>
      </w:pPr>
    </w:p>
    <w:sectPr w:rsidR="008B2137">
      <w:footerReference w:type="even" r:id="rId6"/>
      <w:footerReference w:type="default" r:id="rId7"/>
      <w:pgSz w:w="11906" w:h="16838"/>
      <w:pgMar w:top="1928" w:right="1531" w:bottom="1814" w:left="1531" w:header="851" w:footer="136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137" w:rsidRDefault="008B2137">
      <w:r>
        <w:separator/>
      </w:r>
    </w:p>
  </w:endnote>
  <w:endnote w:type="continuationSeparator" w:id="0">
    <w:p w:rsidR="008B2137" w:rsidRDefault="008B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B2137">
    <w:pPr>
      <w:pStyle w:val="a5"/>
      <w:framePr w:wrap="around" w:vAnchor="text" w:hAnchor="margin" w:xAlign="outside" w:y="1"/>
      <w:rPr>
        <w:rStyle w:val="a8"/>
        <w:sz w:val="28"/>
        <w:szCs w:val="28"/>
      </w:rPr>
    </w:pPr>
    <w:r>
      <w:rPr>
        <w:rStyle w:val="a8"/>
        <w:rFonts w:hint="eastAsia"/>
        <w:color w:val="FFFFFF"/>
        <w:sz w:val="28"/>
        <w:szCs w:val="28"/>
      </w:rPr>
      <w:t>—</w:t>
    </w: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Pr>
        <w:rStyle w:val="a8"/>
        <w:sz w:val="28"/>
        <w:szCs w:val="28"/>
        <w:lang w:val="en-US" w:eastAsia="zh-CN"/>
      </w:rPr>
      <w:t>2</w:t>
    </w:r>
    <w:r>
      <w:rPr>
        <w:rStyle w:val="a8"/>
        <w:sz w:val="28"/>
        <w:szCs w:val="28"/>
      </w:rPr>
      <w:fldChar w:fldCharType="end"/>
    </w:r>
    <w:r>
      <w:rPr>
        <w:rStyle w:val="a8"/>
        <w:rFonts w:hint="eastAsia"/>
        <w:sz w:val="28"/>
        <w:szCs w:val="28"/>
      </w:rPr>
      <w:t xml:space="preserve"> </w:t>
    </w:r>
    <w:r>
      <w:rPr>
        <w:rStyle w:val="a8"/>
        <w:rFonts w:hint="eastAsia"/>
        <w:sz w:val="28"/>
        <w:szCs w:val="28"/>
      </w:rPr>
      <w:t>—</w:t>
    </w:r>
    <w:r>
      <w:rPr>
        <w:rStyle w:val="a8"/>
        <w:rFonts w:hint="eastAsia"/>
        <w:sz w:val="28"/>
        <w:szCs w:val="28"/>
      </w:rPr>
      <w:t xml:space="preserve"> </w:t>
    </w:r>
  </w:p>
  <w:p w:rsidR="00000000" w:rsidRDefault="008B213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76E40">
    <w:pPr>
      <w:pStyle w:val="a5"/>
      <w:wordWrap w:val="0"/>
      <w:jc w:val="right"/>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B213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24A07" w:rsidRPr="00224A07">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000000" w:rsidRDefault="008B2137">
                    <w:pPr>
                      <w:pStyle w:val="a5"/>
                      <w:wordWrap w:val="0"/>
                      <w:jc w:val="right"/>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224A07" w:rsidRPr="00224A07">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137" w:rsidRDefault="008B2137">
      <w:r>
        <w:separator/>
      </w:r>
    </w:p>
  </w:footnote>
  <w:footnote w:type="continuationSeparator" w:id="0">
    <w:p w:rsidR="008B2137" w:rsidRDefault="008B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24A07"/>
    <w:rsid w:val="00247F9A"/>
    <w:rsid w:val="00277D15"/>
    <w:rsid w:val="002A510C"/>
    <w:rsid w:val="002A7F53"/>
    <w:rsid w:val="002B28D3"/>
    <w:rsid w:val="002B6FA2"/>
    <w:rsid w:val="002B70F4"/>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014C"/>
    <w:rsid w:val="007B409A"/>
    <w:rsid w:val="007C1621"/>
    <w:rsid w:val="007C72C1"/>
    <w:rsid w:val="007E0CB4"/>
    <w:rsid w:val="007F6C62"/>
    <w:rsid w:val="008044C1"/>
    <w:rsid w:val="0080591C"/>
    <w:rsid w:val="00840DEF"/>
    <w:rsid w:val="00845649"/>
    <w:rsid w:val="008457F1"/>
    <w:rsid w:val="00863C35"/>
    <w:rsid w:val="008857B8"/>
    <w:rsid w:val="008B2137"/>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76E40"/>
    <w:rsid w:val="00A8280B"/>
    <w:rsid w:val="00A82CA2"/>
    <w:rsid w:val="00AC2D33"/>
    <w:rsid w:val="00B10065"/>
    <w:rsid w:val="00B11072"/>
    <w:rsid w:val="00B25838"/>
    <w:rsid w:val="00B60176"/>
    <w:rsid w:val="00B84EF7"/>
    <w:rsid w:val="00B93A53"/>
    <w:rsid w:val="00BA00D5"/>
    <w:rsid w:val="00BA1FC7"/>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A353A"/>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0F7FF341"/>
    <w:rsid w:val="12681CD2"/>
    <w:rsid w:val="14FD330E"/>
    <w:rsid w:val="1616507C"/>
    <w:rsid w:val="1CEFCE1E"/>
    <w:rsid w:val="1E8FEA3B"/>
    <w:rsid w:val="2F7921B2"/>
    <w:rsid w:val="2FDF4E4F"/>
    <w:rsid w:val="36BFC50C"/>
    <w:rsid w:val="3DFC75DB"/>
    <w:rsid w:val="3EFB7997"/>
    <w:rsid w:val="3FF74761"/>
    <w:rsid w:val="3FFD86A4"/>
    <w:rsid w:val="3FFEEBB7"/>
    <w:rsid w:val="41E9C6E7"/>
    <w:rsid w:val="43EE1D79"/>
    <w:rsid w:val="45386969"/>
    <w:rsid w:val="45492E01"/>
    <w:rsid w:val="466F7F34"/>
    <w:rsid w:val="4BFFB8EF"/>
    <w:rsid w:val="4FEDF58E"/>
    <w:rsid w:val="575EC4CD"/>
    <w:rsid w:val="5DD84DC1"/>
    <w:rsid w:val="5F1AEA15"/>
    <w:rsid w:val="5F8C32F3"/>
    <w:rsid w:val="5FBB3134"/>
    <w:rsid w:val="5FD97035"/>
    <w:rsid w:val="67FD31CB"/>
    <w:rsid w:val="6DB74A78"/>
    <w:rsid w:val="6ED8BF66"/>
    <w:rsid w:val="73B74DCC"/>
    <w:rsid w:val="73E5E564"/>
    <w:rsid w:val="73F6D059"/>
    <w:rsid w:val="758F27DE"/>
    <w:rsid w:val="75FA6A23"/>
    <w:rsid w:val="77AF1761"/>
    <w:rsid w:val="77BE3C20"/>
    <w:rsid w:val="77CB730E"/>
    <w:rsid w:val="77FDD0B9"/>
    <w:rsid w:val="7BF4556F"/>
    <w:rsid w:val="7BF73E6E"/>
    <w:rsid w:val="7F0DCA5F"/>
    <w:rsid w:val="7F79E792"/>
    <w:rsid w:val="7F7B77D6"/>
    <w:rsid w:val="7FE71166"/>
    <w:rsid w:val="7FF7C349"/>
    <w:rsid w:val="7FFD12DB"/>
    <w:rsid w:val="9A7FBB8A"/>
    <w:rsid w:val="9EF69B33"/>
    <w:rsid w:val="BBB9A718"/>
    <w:rsid w:val="BDFFFD5E"/>
    <w:rsid w:val="BFFA98AF"/>
    <w:rsid w:val="BFFE724C"/>
    <w:rsid w:val="C3773AC9"/>
    <w:rsid w:val="D72F47C9"/>
    <w:rsid w:val="D8FF44DF"/>
    <w:rsid w:val="DBA67A20"/>
    <w:rsid w:val="DBEB8A5E"/>
    <w:rsid w:val="DBF9F6DF"/>
    <w:rsid w:val="DF7F9BBB"/>
    <w:rsid w:val="E1F34FBC"/>
    <w:rsid w:val="EDFFCA7A"/>
    <w:rsid w:val="F5ED1FF0"/>
    <w:rsid w:val="F728E355"/>
    <w:rsid w:val="F7BCEF79"/>
    <w:rsid w:val="F7CDB4CB"/>
    <w:rsid w:val="F7FB7100"/>
    <w:rsid w:val="F96EF499"/>
    <w:rsid w:val="F9FF90F8"/>
    <w:rsid w:val="FA6F8D55"/>
    <w:rsid w:val="FB1D415E"/>
    <w:rsid w:val="FBDFD24F"/>
    <w:rsid w:val="FCAFC116"/>
    <w:rsid w:val="FDFD7AFC"/>
    <w:rsid w:val="FDFFED54"/>
    <w:rsid w:val="FE5F97B5"/>
    <w:rsid w:val="FE7F4264"/>
    <w:rsid w:val="FEF6B056"/>
    <w:rsid w:val="FFB825A3"/>
    <w:rsid w:val="FFF5B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3DD3CB9-28B6-4B9C-AE72-E8DC49BB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Pr>
      <w:kern w:val="2"/>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Xtzj.Com</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2</cp:revision>
  <cp:lastPrinted>2023-09-08T16:57:00Z</cp:lastPrinted>
  <dcterms:created xsi:type="dcterms:W3CDTF">2023-09-08T02:12:00Z</dcterms:created>
  <dcterms:modified xsi:type="dcterms:W3CDTF">2023-09-08T02:12:00Z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411DABEC0C93F04A4A7AFA6404CF0FC4</vt:lpwstr>
  </property>
</Properties>
</file>